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OLE_LINK1"/>
      <w:r>
        <w:rPr>
          <w:rFonts w:hint="eastAsia" w:ascii="方正小标宋简体" w:hAnsi="方正小标宋简体" w:eastAsia="方正小标宋简体" w:cs="方正小标宋简体"/>
          <w:sz w:val="44"/>
          <w:szCs w:val="44"/>
          <w:lang w:val="en-US" w:eastAsia="zh-CN"/>
        </w:rPr>
        <w:t>关于优化土地供应和建筑工程容积率计算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规则等有关工作的</w:t>
      </w:r>
      <w:bookmarkEnd w:id="0"/>
      <w:r>
        <w:rPr>
          <w:rFonts w:hint="eastAsia" w:ascii="方正小标宋简体" w:hAnsi="方正小标宋简体" w:eastAsia="方正小标宋简体" w:cs="方正小标宋简体"/>
          <w:sz w:val="44"/>
          <w:szCs w:val="44"/>
          <w:lang w:val="en-US" w:eastAsia="zh-CN"/>
        </w:rPr>
        <w:t>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sz w:val="36"/>
          <w:szCs w:val="36"/>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bookmarkStart w:id="1" w:name="_GoBack"/>
      <w:bookmarkEnd w:id="1"/>
      <w:r>
        <w:rPr>
          <w:rFonts w:hint="eastAsia" w:ascii="黑体" w:hAnsi="黑体" w:eastAsia="黑体" w:cs="黑体"/>
          <w:kern w:val="2"/>
          <w:sz w:val="32"/>
          <w:szCs w:val="32"/>
          <w:lang w:val="en-US" w:eastAsia="zh-CN" w:bidi="ar-SA"/>
        </w:rPr>
        <w:t>一、</w:t>
      </w:r>
      <w:r>
        <w:rPr>
          <w:rFonts w:hint="default" w:ascii="黑体" w:hAnsi="黑体" w:eastAsia="黑体" w:cs="黑体"/>
          <w:kern w:val="2"/>
          <w:sz w:val="32"/>
          <w:szCs w:val="32"/>
          <w:lang w:val="en-US" w:eastAsia="zh-CN" w:bidi="ar-SA"/>
        </w:rPr>
        <w:t>‌精准调控土地供应</w:t>
      </w:r>
      <w:r>
        <w:rPr>
          <w:rFonts w:hint="eastAsia" w:ascii="黑体" w:hAnsi="黑体" w:eastAsia="黑体" w:cs="黑体"/>
          <w:kern w:val="2"/>
          <w:sz w:val="32"/>
          <w:szCs w:val="32"/>
          <w:lang w:val="en-US" w:eastAsia="zh-CN" w:bidi="ar-SA"/>
        </w:rPr>
        <w:t>与开发，促进房地产市场平稳健康发展</w:t>
      </w:r>
      <w:r>
        <w:rPr>
          <w:rFonts w:hint="default" w:ascii="黑体" w:hAnsi="黑体" w:eastAsia="黑体" w:cs="黑体"/>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（一）科学编制住宅用地供应计划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根据我市国土空间规划、住房建设规划与年度计划，人口结构规模变化情况和房地产市场走势，合理确定供应住宅用地规模，编制年度住宅用地供应计划，</w:t>
      </w:r>
      <w:r>
        <w:rPr>
          <w:rFonts w:hint="eastAsia" w:ascii="仿宋_GB2312" w:hAnsi="仿宋_GB2312" w:eastAsia="仿宋_GB2312" w:cs="仿宋_GB2312"/>
          <w:sz w:val="32"/>
          <w:szCs w:val="32"/>
          <w:lang w:val="en-US" w:eastAsia="zh-CN"/>
        </w:rPr>
        <w:t>在计划中优先安排保障性住房用地。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（二）优化住宅用地分类管控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kern w:val="2"/>
          <w:sz w:val="32"/>
          <w:szCs w:val="32"/>
          <w:lang w:val="en-US" w:eastAsia="zh-CN" w:bidi="ar-SA"/>
        </w:rPr>
        <w:t>新增建设用地优先保障重大项目与民生事业，原则上不用于房地产开发，住宅用地供应以存量盘活为主，对商品住宅去化周期长、存量房多的区域，从严控制新增住宅用地</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（三）鼓励企业优化开发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推动限期消除开发障碍、合理调整规划条件和设计要求、适当放宽分期开发和价款缴纳时间、调整开竣工日期、合理免除因自然灾害导致的违约责任等多种政策措施，全力支持企业优化开发建设，高效盘活存量闲置土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二、加快推进高品质住房建设，加大住宅项目规划政策支持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（四）规范住宅建筑阳台计容规则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1.住宅建筑阳台应与居室空间或厨房（餐厅）相通，其最大进深不应大于2.1米（阳台围护结构外围至外墙面的最大垂直距离）；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2.住宅建筑每户阳台水平投影面积之和不应超过该户建筑水平投影面积（不含阳台）的20%。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符合上述两条标准，阳台（结构内阳台除外）按围护设施外表面所围空间水平投影面积的1/2计算建筑面积及容积率。如超出上述标准，则超出部分的封闭阳台按全面积计算建筑面积并计入容积率。房产测绘机构需按以上规则进行阳台面积测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3.上盖高度达到或超过两个自然层的有顶盖阳台参照执行。与开敞阳台相接的附属构件（如花台、设备平台、遮阳板等），无论是否与阳台隔断，均作为阳台控制。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4.阳台的长度总和超过该建筑长度的1/2时，建筑间距按照阳台的外表面控制。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（五）优化小区大门、风雨连廊、景观亭廊计容规则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1.具备至少两面开敞，不得形成全封闭围护结构，面向业主全天候免费开放的小区大门，其建筑面积可不计入地块容积率及建筑密度。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在不影响消防安全和居民日常生活的前提下，可在小区场地内设置无围护结构的风雨连廊，将相互独立的建筑物或将建筑物与小区内广场、游园等公共空间相互连接，其风雨连廊建筑面积不计入地块容积率和建筑密度。场地内的独立设置的景观亭廊，视为景观构筑物，其建筑面积不计入地块容积率和建筑密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（六）优化架空空间计容规则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住宅小区可在集中绿地、活动场地附近的住宅建筑底层设置架空层，作为小区公共通道、居民活动空间等使用，不得分割登记、不得分摊、不得出租出售。对于面积不超过建筑基底面积50%、高度在4.9米以下的架空层，其建筑面积不计入地块容积率；超出建筑基底面积50%部分及高度大于4.9米的部分按实际面积计入容积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（七）优化建筑结构层高计容规则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住宅建筑层高不低于3米，且不应高于5.2米。当套型建筑面积超过144平方米的住宅，可在起居室（厅）设置1处挑空空间。其挑空部分不大于两层层高，水平投影面积不超过住宅套型建筑面积的25%且不大于50平方米的，按其水平投影面积计算容积率，超出部分按2倍计算容积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（八）优化配套设施计容规则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对新出让住宅用地内配建的幼儿园、社区养老服务设施用房（社区老年人日间照料中心）、面向中老年人的室内体育活动用房、医院（社区卫生服务用房）、社区用房、物业用房等建筑，按照规划要求建设，竣工验收后无偿移交给相关部门、单位，其建筑面积可不计入地块容积率，但需计入总建筑面积、计入建筑密度。既有住宅小区增加配建的养老服务设施，不计入地块容积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在满足规划条件要求设置公共服务设施的基础上，鼓励房地产企业利用地下空间增设图书馆、游泳馆、洗车房、健身房等设施，建成后无偿移交给全体业主的，其建筑面积不计入地块容积率，不计入住户分摊面积；建成后开发建设企业自持的，其建筑面积计入地块容积率，可进行产权登记，但不计入住户分摊面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（九）优化车库出入口顶棚、非机动车停车棚等构筑物计容规则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1.地下车库出入口顶盖建筑面积不计入地块容积率和建筑密度。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2.非机动车停车棚（包含电动自行车集中存放和充电场所）其建筑面积不计入地块容积率和建筑密度。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3.地下室因疏散、通风和采光需要，所设置的消防疏散专用楼梯间、风井、窗井和烟井等地面附属建（构）筑物，其建筑面积不计入地块容积率和建筑密度，不计入住户分摊面积。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（十）规范半地下室计容规则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项目半地下室（含车库），顶板面标高不超过相邻城市道路中心线标高1.2米的，其建筑面积不计入地块容积率和建筑密度，不计入住户分摊面积，绿地面积计入绿地率；超过1.2米的，建筑面积按全面积计入地块容积率，基底面积计入地块建筑密度，绿地面积不计入绿地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（十一）规范飘窗计容规则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凸（飘）窗应突出外墙面，下方不应有楼（地）板的延伸。凸（飘）窗的窗台高度（窗台面与室内地面的高差）应大于等于0.45米，结构净高应小于2.1米，进深（自外墙外缘至飘窗外边线）不应大于0.9米。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不满足上述条件的，按挑出外墙部分的水平投影面积计算全部建筑面积并计入容积率。禁止在厨房设置凸（飘）窗，禁止擅自改变凸（飘）窗功能。凸（飘）窗上设置盥洗池等非凸（飘）窗功能的，按挑出外墙部分的水平投影面积计算全部建筑面积并计入容积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（十二）优化住宅小区内配建停车位配建充电桩的要求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新建住宅项目固定车位应100%建设充电设施或预留建设安装条件，预留安装条件时需将管线和桥架等供电设施建设到车位，满足直接装表接电要求，同时需满足电力负荷需求。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（十三）优化日照分析相关要求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新建住宅小区容积率2.0及以下，项目内新建住宅建筑日照标准不应低于大寒日3小时；城市更新区新建住宅小区容积率2.0以上，项目内新建住宅建筑（含商住混合用地住宅建筑）日照标准不应低于大寒日1小时。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（十四）优化住宅小区配套商业建筑面积要求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充分考虑用地区位、周边配套设施情况、商业回迁以及住宅建设规模等因素，为方便居民日常生活需求，新建住宅小区配套商业建筑面积不超过计容建筑面积的5%。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（十五）优化住宅建筑面宽控制要求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沿城市道路的建筑应综合考虑城市街景和单体形态，合理确定建筑形体高宽比例，新建住宅建筑，最大建筑面宽值不应超过80米。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（十六）优化住宅建筑侧向间距控制要求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在满足日照标准前提下，综合考虑采光、通风、消防、防灾、管线埋设、视觉卫生等要求；沿主次街路，新建高层住宅侧向间距不小于20米；沿城市支路及小区内部，新建高层住宅侧向间距应不小于13米。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（十七）优化建筑退线控制要求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沿建筑基地边界和沿城市道路、公路、河道、铁路两侧以及电力线路保护区范围内的建筑物，其退让距离除必须符合规划条件、消防、防汛、电力和交通安全等方面的要求外，应同时符合以下规定：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1.新建多层居住建筑物后退城市道路红线最小距离10米；新建多层非居住建筑物后退城市道路宽度40米及以上道路红线不宜小于15米；新建高层建筑物后退城市道路宽度30米及以上道路红线不宜小于15米。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2.建筑物地下部分及其地下围护设施，退用地界线、道路红线（绿线）不得小于5米。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（十八）优化机动车停车位配建要求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临河中心城区新建住宅小区在现有居住区停车位配建标准上，原则上建设路以西、乌拉特大街以南、永济渠及临策铁路以东、包兰铁路以北的区域且户均面积小于144平方米的住宅项目，停车位配比由1.15个/户调整为1个/户；户均面积大于144平方米的，停车位配比按1.15个/户配建；建设路以东、乌拉特大街以北、永济渠及临策铁路以西、包兰铁路以南的区域且户均面积小于144平方米的住宅项目，停车位配比由1.15个/户调整为0.75个/户。各旗县政府应充分考虑住宅小区所处区位、人口密度、公共交通条件、公共配套情况等因素，依据详细规划，可自行确定机动车配建比例，停车位配比不得小于0.75个/户，其中地上机动车停车位数量不宜超过停车位总数量的10%。新建居住项目机动车停车位一般不考虑设置机械式停车，子母停车位按照1辆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（十九）优化住宅小区专属庭院要求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住宅小区住宅建筑首层可设置专属庭院，专属庭院必须在经批准的建设工程设计方案中明确；专属庭院绿地不计入地块绿地率；开发企业或销售商在出售商品房时，必须通过告知、合同或者其他有效方式向其他业主明示专属庭院属于底层业主专有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本《通知》自印发之日起施行。该《通知》施行后，国家、自治区另有规定的，按照有关规定执行。</w:t>
      </w:r>
    </w:p>
    <w:sectPr>
      <w:footerReference r:id="rId3" w:type="default"/>
      <w:pgSz w:w="11906" w:h="16838"/>
      <w:pgMar w:top="1587" w:right="1701" w:bottom="158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76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C05FE"/>
    <w:rsid w:val="03F55A09"/>
    <w:rsid w:val="04211892"/>
    <w:rsid w:val="05F7362A"/>
    <w:rsid w:val="0C0636FF"/>
    <w:rsid w:val="0EE27D11"/>
    <w:rsid w:val="109A4DC5"/>
    <w:rsid w:val="15044A88"/>
    <w:rsid w:val="154E685B"/>
    <w:rsid w:val="17A24D68"/>
    <w:rsid w:val="1841525A"/>
    <w:rsid w:val="18542995"/>
    <w:rsid w:val="1B8378E1"/>
    <w:rsid w:val="1CD328A7"/>
    <w:rsid w:val="1FFA0160"/>
    <w:rsid w:val="20C60478"/>
    <w:rsid w:val="218F0CE0"/>
    <w:rsid w:val="24E32C48"/>
    <w:rsid w:val="2C5335B9"/>
    <w:rsid w:val="2E175F08"/>
    <w:rsid w:val="2F8A1324"/>
    <w:rsid w:val="37EF5D31"/>
    <w:rsid w:val="3AD6242E"/>
    <w:rsid w:val="4210458C"/>
    <w:rsid w:val="45FF4908"/>
    <w:rsid w:val="48D74B15"/>
    <w:rsid w:val="4C726D24"/>
    <w:rsid w:val="50976EAF"/>
    <w:rsid w:val="51AB7531"/>
    <w:rsid w:val="52B82928"/>
    <w:rsid w:val="53D8114B"/>
    <w:rsid w:val="53F82F38"/>
    <w:rsid w:val="5ABE5351"/>
    <w:rsid w:val="5B5A5D02"/>
    <w:rsid w:val="5BDF331E"/>
    <w:rsid w:val="5C1C02E5"/>
    <w:rsid w:val="613F1997"/>
    <w:rsid w:val="620329DA"/>
    <w:rsid w:val="636F61E6"/>
    <w:rsid w:val="6B481977"/>
    <w:rsid w:val="6B987E51"/>
    <w:rsid w:val="6C776701"/>
    <w:rsid w:val="6DB24BA6"/>
    <w:rsid w:val="71F36CA1"/>
    <w:rsid w:val="73C31BFC"/>
    <w:rsid w:val="778421F8"/>
    <w:rsid w:val="79EB6C10"/>
    <w:rsid w:val="7AAF61BB"/>
    <w:rsid w:val="7CA65534"/>
    <w:rsid w:val="7FF9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unhideWhenUsed/>
    <w:qFormat/>
    <w:uiPriority w:val="99"/>
    <w:pPr>
      <w:spacing w:after="120" w:line="480" w:lineRule="auto"/>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3301</Words>
  <Characters>3387</Characters>
  <Lines>0</Lines>
  <Paragraphs>0</Paragraphs>
  <TotalTime>1371</TotalTime>
  <ScaleCrop>false</ScaleCrop>
  <LinksUpToDate>false</LinksUpToDate>
  <CharactersWithSpaces>3388</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2025-05-13T07:16:00Z</dcterms:created>
  <dc:creator>Administrator</dc:creator>
  <cp:lastModifiedBy>王晨霞</cp:lastModifiedBy>
  <cp:lastPrinted>2026-05-19T09:04:00Z</cp:lastPrinted>
  <dcterms:modified xsi:type="dcterms:W3CDTF">2026-06-12T02:09:10Z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KSOTemplateDocerSaveRecord">
    <vt:lpwstr>eyJoZGlkIjoiNmJlZmE3MDRhMmRhYTgxMzdmYTkwYTM1NWFkMzgzM2UiLCJ1c2VySWQiOiI1MzY4NzY3NjgifQ==</vt:lpwstr>
  </property>
  <property fmtid="{D5CDD505-2E9C-101B-9397-08002B2CF9AE}" pid="4" name="ICV">
    <vt:lpwstr>62426BEB63E241B4A2B1838122CB77AA</vt:lpwstr>
  </property>
</Properties>
</file>