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B3802">
      <w:pPr>
        <w:pStyle w:val="5"/>
        <w:bidi w:val="0"/>
        <w:spacing w:line="360" w:lineRule="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巴彦淖尔甘其毛都口岸加工园区基准地价内涵说明表</w:t>
      </w:r>
    </w:p>
    <w:tbl>
      <w:tblPr>
        <w:tblStyle w:val="8"/>
        <w:tblW w:w="5000" w:type="pct"/>
        <w:tblInd w:w="0" w:type="dxa"/>
        <w:tblLayout w:type="autofit"/>
        <w:tblCellMar>
          <w:top w:w="0" w:type="dxa"/>
          <w:left w:w="108" w:type="dxa"/>
          <w:bottom w:w="0" w:type="dxa"/>
          <w:right w:w="108" w:type="dxa"/>
        </w:tblCellMar>
      </w:tblPr>
      <w:tblGrid>
        <w:gridCol w:w="1410"/>
        <w:gridCol w:w="3642"/>
        <w:gridCol w:w="4079"/>
      </w:tblGrid>
      <w:tr w14:paraId="0261F60C">
        <w:tblPrEx>
          <w:tblCellMar>
            <w:top w:w="0" w:type="dxa"/>
            <w:left w:w="108" w:type="dxa"/>
            <w:bottom w:w="0" w:type="dxa"/>
            <w:right w:w="108" w:type="dxa"/>
          </w:tblCellMar>
        </w:tblPrEx>
        <w:trPr>
          <w:trHeight w:val="531" w:hRule="atLeast"/>
        </w:trPr>
        <w:tc>
          <w:tcPr>
            <w:tcW w:w="77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0FC8EDD">
            <w:pPr>
              <w:pStyle w:val="10"/>
              <w:bidi w:val="0"/>
              <w:rPr>
                <w:rFonts w:hint="eastAsia"/>
                <w:color w:val="auto"/>
                <w:highlight w:val="none"/>
              </w:rPr>
            </w:pPr>
            <w:r>
              <w:rPr>
                <w:rFonts w:hint="eastAsia"/>
                <w:color w:val="auto"/>
                <w:highlight w:val="none"/>
              </w:rPr>
              <w:t>用途</w:t>
            </w:r>
          </w:p>
        </w:tc>
        <w:tc>
          <w:tcPr>
            <w:tcW w:w="199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9B6ECB0">
            <w:pPr>
              <w:pStyle w:val="10"/>
              <w:bidi w:val="0"/>
              <w:rPr>
                <w:rFonts w:hint="eastAsia"/>
                <w:color w:val="auto"/>
                <w:highlight w:val="none"/>
              </w:rPr>
            </w:pPr>
            <w:r>
              <w:rPr>
                <w:rFonts w:hint="eastAsia"/>
                <w:color w:val="auto"/>
                <w:highlight w:val="none"/>
                <w:lang w:eastAsia="zh-CN"/>
              </w:rPr>
              <w:t>工矿</w:t>
            </w:r>
            <w:r>
              <w:rPr>
                <w:color w:val="auto"/>
                <w:highlight w:val="none"/>
              </w:rPr>
              <w:t>用地</w:t>
            </w:r>
          </w:p>
        </w:tc>
        <w:tc>
          <w:tcPr>
            <w:tcW w:w="2232" w:type="pct"/>
            <w:tcBorders>
              <w:top w:val="single" w:color="000000" w:sz="4" w:space="0"/>
              <w:left w:val="single" w:color="000000" w:sz="4" w:space="0"/>
              <w:bottom w:val="single" w:color="000000" w:sz="4" w:space="0"/>
              <w:right w:val="single" w:color="000000" w:sz="4" w:space="0"/>
            </w:tcBorders>
            <w:vAlign w:val="center"/>
          </w:tcPr>
          <w:p w14:paraId="585B6C73">
            <w:pPr>
              <w:pStyle w:val="10"/>
              <w:bidi w:val="0"/>
              <w:rPr>
                <w:rFonts w:hint="eastAsia" w:eastAsia="仿宋"/>
                <w:color w:val="auto"/>
                <w:highlight w:val="none"/>
                <w:lang w:val="en-US" w:eastAsia="zh-CN"/>
              </w:rPr>
            </w:pPr>
            <w:r>
              <w:rPr>
                <w:rFonts w:hint="eastAsia"/>
                <w:color w:val="auto"/>
                <w:highlight w:val="none"/>
                <w:lang w:val="en-US" w:eastAsia="zh-CN"/>
              </w:rPr>
              <w:t>仓储用地</w:t>
            </w:r>
          </w:p>
        </w:tc>
      </w:tr>
      <w:tr w14:paraId="20E662CC">
        <w:tblPrEx>
          <w:tblCellMar>
            <w:top w:w="0" w:type="dxa"/>
            <w:left w:w="108" w:type="dxa"/>
            <w:bottom w:w="0" w:type="dxa"/>
            <w:right w:w="108" w:type="dxa"/>
          </w:tblCellMar>
        </w:tblPrEx>
        <w:trPr>
          <w:trHeight w:val="475" w:hRule="atLeast"/>
        </w:trPr>
        <w:tc>
          <w:tcPr>
            <w:tcW w:w="77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4F88F33">
            <w:pPr>
              <w:pStyle w:val="10"/>
              <w:bidi w:val="0"/>
              <w:rPr>
                <w:rFonts w:hint="eastAsia"/>
                <w:color w:val="auto"/>
                <w:highlight w:val="none"/>
              </w:rPr>
            </w:pPr>
            <w:r>
              <w:rPr>
                <w:rFonts w:hint="eastAsia"/>
                <w:color w:val="auto"/>
                <w:highlight w:val="none"/>
              </w:rPr>
              <w:t>评估基准日</w:t>
            </w:r>
          </w:p>
        </w:tc>
        <w:tc>
          <w:tcPr>
            <w:tcW w:w="4227" w:type="pct"/>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5586212">
            <w:pPr>
              <w:pStyle w:val="10"/>
              <w:bidi w:val="0"/>
              <w:rPr>
                <w:rFonts w:hint="eastAsia"/>
                <w:color w:val="auto"/>
                <w:highlight w:val="none"/>
                <w:lang w:val="en-US" w:eastAsia="zh-CN"/>
              </w:rPr>
            </w:pPr>
            <w:r>
              <w:rPr>
                <w:rFonts w:hint="eastAsia"/>
                <w:color w:val="auto"/>
                <w:highlight w:val="none"/>
                <w:lang w:val="en-US" w:eastAsia="zh-CN"/>
              </w:rPr>
              <w:t>2025</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w:t>
            </w:r>
          </w:p>
        </w:tc>
      </w:tr>
      <w:tr w14:paraId="5B370055">
        <w:tblPrEx>
          <w:tblCellMar>
            <w:top w:w="0" w:type="dxa"/>
            <w:left w:w="108" w:type="dxa"/>
            <w:bottom w:w="0" w:type="dxa"/>
            <w:right w:w="108" w:type="dxa"/>
          </w:tblCellMar>
        </w:tblPrEx>
        <w:trPr>
          <w:trHeight w:val="591" w:hRule="atLeast"/>
        </w:trPr>
        <w:tc>
          <w:tcPr>
            <w:tcW w:w="77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762C1376">
            <w:pPr>
              <w:pStyle w:val="10"/>
              <w:bidi w:val="0"/>
              <w:rPr>
                <w:rFonts w:hint="eastAsia"/>
                <w:color w:val="auto"/>
                <w:highlight w:val="none"/>
              </w:rPr>
            </w:pPr>
            <w:r>
              <w:rPr>
                <w:rFonts w:hint="eastAsia"/>
                <w:color w:val="auto"/>
                <w:highlight w:val="none"/>
              </w:rPr>
              <w:t>土地使用权类型</w:t>
            </w:r>
          </w:p>
        </w:tc>
        <w:tc>
          <w:tcPr>
            <w:tcW w:w="4227" w:type="pct"/>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50BAC576">
            <w:pPr>
              <w:pStyle w:val="10"/>
              <w:bidi w:val="0"/>
              <w:rPr>
                <w:color w:val="auto"/>
                <w:highlight w:val="none"/>
              </w:rPr>
            </w:pPr>
            <w:r>
              <w:rPr>
                <w:color w:val="auto"/>
                <w:highlight w:val="none"/>
              </w:rPr>
              <w:t>完整权利下的出让国有建设用地使用权，不考虑土地他项权利，如抵押权、地役权等对地价的影响。</w:t>
            </w:r>
          </w:p>
        </w:tc>
      </w:tr>
      <w:tr w14:paraId="4BD6D996">
        <w:tblPrEx>
          <w:tblCellMar>
            <w:top w:w="0" w:type="dxa"/>
            <w:left w:w="108" w:type="dxa"/>
            <w:bottom w:w="0" w:type="dxa"/>
            <w:right w:w="108" w:type="dxa"/>
          </w:tblCellMar>
        </w:tblPrEx>
        <w:trPr>
          <w:trHeight w:val="475" w:hRule="atLeast"/>
        </w:trPr>
        <w:tc>
          <w:tcPr>
            <w:tcW w:w="77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47A67AC">
            <w:pPr>
              <w:pStyle w:val="10"/>
              <w:bidi w:val="0"/>
              <w:rPr>
                <w:rFonts w:hint="eastAsia"/>
                <w:color w:val="auto"/>
                <w:highlight w:val="none"/>
              </w:rPr>
            </w:pPr>
            <w:r>
              <w:rPr>
                <w:rFonts w:hint="eastAsia"/>
                <w:color w:val="auto"/>
                <w:highlight w:val="none"/>
              </w:rPr>
              <w:t>土地使用年期</w:t>
            </w:r>
          </w:p>
        </w:tc>
        <w:tc>
          <w:tcPr>
            <w:tcW w:w="199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4CB46230">
            <w:pPr>
              <w:pStyle w:val="10"/>
              <w:bidi w:val="0"/>
              <w:rPr>
                <w:rFonts w:hint="eastAsia"/>
                <w:color w:val="auto"/>
                <w:highlight w:val="none"/>
              </w:rPr>
            </w:pPr>
            <w:r>
              <w:rPr>
                <w:rFonts w:hint="eastAsia"/>
                <w:color w:val="auto"/>
                <w:highlight w:val="none"/>
              </w:rPr>
              <w:t>50</w:t>
            </w:r>
          </w:p>
        </w:tc>
        <w:tc>
          <w:tcPr>
            <w:tcW w:w="2232" w:type="pct"/>
            <w:tcBorders>
              <w:top w:val="single" w:color="000000" w:sz="4" w:space="0"/>
              <w:left w:val="single" w:color="000000" w:sz="4" w:space="0"/>
              <w:bottom w:val="single" w:color="000000" w:sz="4" w:space="0"/>
              <w:right w:val="single" w:color="000000" w:sz="4" w:space="0"/>
            </w:tcBorders>
            <w:vAlign w:val="center"/>
          </w:tcPr>
          <w:p w14:paraId="74F4D273">
            <w:pPr>
              <w:pStyle w:val="10"/>
              <w:bidi w:val="0"/>
              <w:rPr>
                <w:rFonts w:hint="default" w:eastAsia="仿宋"/>
                <w:color w:val="auto"/>
                <w:highlight w:val="none"/>
                <w:lang w:val="en-US" w:eastAsia="zh-CN"/>
              </w:rPr>
            </w:pPr>
            <w:r>
              <w:rPr>
                <w:rFonts w:hint="eastAsia"/>
                <w:color w:val="auto"/>
                <w:highlight w:val="none"/>
              </w:rPr>
              <w:t>50</w:t>
            </w:r>
          </w:p>
        </w:tc>
      </w:tr>
      <w:tr w14:paraId="0BFE2D6E">
        <w:tblPrEx>
          <w:tblCellMar>
            <w:top w:w="0" w:type="dxa"/>
            <w:left w:w="108" w:type="dxa"/>
            <w:bottom w:w="0" w:type="dxa"/>
            <w:right w:w="108" w:type="dxa"/>
          </w:tblCellMar>
        </w:tblPrEx>
        <w:trPr>
          <w:trHeight w:val="960" w:hRule="atLeast"/>
        </w:trPr>
        <w:tc>
          <w:tcPr>
            <w:tcW w:w="77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A388184">
            <w:pPr>
              <w:pStyle w:val="10"/>
              <w:bidi w:val="0"/>
              <w:rPr>
                <w:rFonts w:hint="eastAsia"/>
                <w:color w:val="auto"/>
                <w:highlight w:val="none"/>
              </w:rPr>
            </w:pPr>
            <w:r>
              <w:rPr>
                <w:rFonts w:hint="eastAsia"/>
                <w:color w:val="auto"/>
                <w:highlight w:val="none"/>
              </w:rPr>
              <w:t>土地开发程度</w:t>
            </w:r>
          </w:p>
        </w:tc>
        <w:tc>
          <w:tcPr>
            <w:tcW w:w="4227" w:type="pct"/>
            <w:gridSpan w:val="2"/>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32FC7C62">
            <w:pPr>
              <w:pStyle w:val="10"/>
              <w:bidi w:val="0"/>
              <w:rPr>
                <w:rFonts w:hint="eastAsia"/>
                <w:color w:val="auto"/>
                <w:highlight w:val="none"/>
                <w:lang w:eastAsia="zh-CN"/>
              </w:rPr>
            </w:pPr>
            <w:r>
              <w:rPr>
                <w:rFonts w:hint="eastAsia"/>
                <w:color w:val="auto"/>
                <w:highlight w:val="none"/>
                <w:lang w:val="en-US" w:eastAsia="zh-CN"/>
              </w:rPr>
              <w:t>工矿用地、仓储用地均</w:t>
            </w:r>
            <w:r>
              <w:rPr>
                <w:rFonts w:hint="default"/>
                <w:color w:val="auto"/>
                <w:highlight w:val="none"/>
                <w:lang w:eastAsia="zh-CN"/>
              </w:rPr>
              <w:t>设定为“五通一平”（红线外通电、通讯、通路、通上水、通下水及红线</w:t>
            </w:r>
            <w:r>
              <w:rPr>
                <w:rFonts w:hint="eastAsia"/>
                <w:color w:val="auto"/>
                <w:highlight w:val="none"/>
                <w:lang w:val="en-US" w:eastAsia="zh-CN"/>
              </w:rPr>
              <w:t>内</w:t>
            </w:r>
            <w:r>
              <w:rPr>
                <w:rFonts w:hint="default"/>
                <w:color w:val="auto"/>
                <w:highlight w:val="none"/>
                <w:lang w:eastAsia="zh-CN"/>
              </w:rPr>
              <w:t>场地平整）。</w:t>
            </w:r>
          </w:p>
        </w:tc>
      </w:tr>
      <w:tr w14:paraId="2C5830DF">
        <w:tblPrEx>
          <w:tblCellMar>
            <w:top w:w="0" w:type="dxa"/>
            <w:left w:w="108" w:type="dxa"/>
            <w:bottom w:w="0" w:type="dxa"/>
            <w:right w:w="108" w:type="dxa"/>
          </w:tblCellMar>
        </w:tblPrEx>
        <w:trPr>
          <w:trHeight w:val="516" w:hRule="atLeast"/>
        </w:trPr>
        <w:tc>
          <w:tcPr>
            <w:tcW w:w="772"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224375F3">
            <w:pPr>
              <w:pStyle w:val="10"/>
              <w:bidi w:val="0"/>
              <w:rPr>
                <w:rFonts w:hint="eastAsia"/>
                <w:color w:val="auto"/>
                <w:highlight w:val="none"/>
              </w:rPr>
            </w:pPr>
            <w:r>
              <w:rPr>
                <w:rFonts w:hint="eastAsia"/>
                <w:color w:val="auto"/>
                <w:highlight w:val="none"/>
              </w:rPr>
              <w:t>容积率</w:t>
            </w:r>
          </w:p>
        </w:tc>
        <w:tc>
          <w:tcPr>
            <w:tcW w:w="1994" w:type="pct"/>
            <w:tcBorders>
              <w:top w:val="single" w:color="000000" w:sz="4" w:space="0"/>
              <w:left w:val="single" w:color="000000" w:sz="4" w:space="0"/>
              <w:bottom w:val="single" w:color="000000" w:sz="4" w:space="0"/>
              <w:right w:val="single" w:color="000000" w:sz="4" w:space="0"/>
            </w:tcBorders>
            <w:tcMar>
              <w:top w:w="15" w:type="dxa"/>
              <w:left w:w="15" w:type="dxa"/>
              <w:bottom w:w="15" w:type="dxa"/>
              <w:right w:w="15" w:type="dxa"/>
            </w:tcMar>
            <w:vAlign w:val="center"/>
          </w:tcPr>
          <w:p w14:paraId="6EDB882E">
            <w:pPr>
              <w:pStyle w:val="10"/>
              <w:bidi w:val="0"/>
              <w:rPr>
                <w:rFonts w:hint="default" w:eastAsia="仿宋"/>
                <w:color w:val="auto"/>
                <w:highlight w:val="none"/>
                <w:lang w:val="en-US" w:eastAsia="zh-CN"/>
              </w:rPr>
            </w:pPr>
            <w:r>
              <w:rPr>
                <w:rFonts w:hint="eastAsia"/>
                <w:color w:val="auto"/>
                <w:highlight w:val="none"/>
                <w:lang w:val="en-US" w:eastAsia="zh-CN"/>
              </w:rPr>
              <w:t>0.8</w:t>
            </w:r>
          </w:p>
        </w:tc>
        <w:tc>
          <w:tcPr>
            <w:tcW w:w="2232" w:type="pct"/>
            <w:tcBorders>
              <w:top w:val="single" w:color="000000" w:sz="4" w:space="0"/>
              <w:left w:val="single" w:color="000000" w:sz="4" w:space="0"/>
              <w:bottom w:val="single" w:color="000000" w:sz="4" w:space="0"/>
              <w:right w:val="single" w:color="000000" w:sz="4" w:space="0"/>
            </w:tcBorders>
            <w:vAlign w:val="center"/>
          </w:tcPr>
          <w:p w14:paraId="26FE21C3">
            <w:pPr>
              <w:pStyle w:val="10"/>
              <w:bidi w:val="0"/>
              <w:rPr>
                <w:rFonts w:hint="default"/>
                <w:color w:val="auto"/>
                <w:highlight w:val="none"/>
                <w:lang w:val="en-US" w:eastAsia="zh-CN"/>
              </w:rPr>
            </w:pPr>
            <w:r>
              <w:rPr>
                <w:rFonts w:hint="eastAsia"/>
                <w:color w:val="auto"/>
                <w:highlight w:val="none"/>
                <w:lang w:val="en-US" w:eastAsia="zh-CN"/>
              </w:rPr>
              <w:t>0.8</w:t>
            </w:r>
          </w:p>
        </w:tc>
      </w:tr>
    </w:tbl>
    <w:p w14:paraId="5B474F48">
      <w:r>
        <w:br w:type="page"/>
      </w:r>
    </w:p>
    <w:p w14:paraId="1DDA268A">
      <w:pPr>
        <w:pStyle w:val="5"/>
        <w:bidi w:val="0"/>
        <w:spacing w:line="360" w:lineRule="auto"/>
        <w:rPr>
          <w:color w:val="auto"/>
          <w:sz w:val="32"/>
          <w:szCs w:val="32"/>
          <w:highlight w:val="none"/>
        </w:rPr>
      </w:pPr>
      <w:r>
        <w:rPr>
          <w:rFonts w:hint="eastAsia" w:ascii="黑体" w:hAnsi="黑体" w:eastAsia="黑体" w:cs="黑体"/>
          <w:color w:val="auto"/>
          <w:sz w:val="32"/>
          <w:szCs w:val="32"/>
          <w:highlight w:val="none"/>
          <w:lang w:val="en-US" w:eastAsia="zh-CN"/>
        </w:rPr>
        <w:t>巴彦淖尔甘其毛都口岸加工园区基准地价表</w:t>
      </w:r>
    </w:p>
    <w:tbl>
      <w:tblPr>
        <w:tblStyle w:val="8"/>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7"/>
        <w:gridCol w:w="1846"/>
        <w:gridCol w:w="1893"/>
        <w:gridCol w:w="1893"/>
      </w:tblGrid>
      <w:tr w14:paraId="1C2C5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3307" w:type="dxa"/>
            <w:vMerge w:val="restart"/>
            <w:noWrap/>
            <w:vAlign w:val="center"/>
          </w:tcPr>
          <w:p w14:paraId="66813534">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行政区名称</w:t>
            </w:r>
          </w:p>
        </w:tc>
        <w:tc>
          <w:tcPr>
            <w:tcW w:w="1846" w:type="dxa"/>
            <w:noWrap w:val="0"/>
            <w:vAlign w:val="center"/>
          </w:tcPr>
          <w:p w14:paraId="7D3888B7">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类型</w:t>
            </w:r>
          </w:p>
        </w:tc>
        <w:tc>
          <w:tcPr>
            <w:tcW w:w="1893" w:type="dxa"/>
            <w:noWrap w:val="0"/>
            <w:vAlign w:val="center"/>
          </w:tcPr>
          <w:p w14:paraId="11795C24">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b/>
                <w:bCs/>
                <w:color w:val="auto"/>
                <w:highlight w:val="none"/>
                <w:lang w:val="en-US" w:eastAsia="zh-CN"/>
              </w:rPr>
              <w:t>工矿用地</w:t>
            </w:r>
          </w:p>
        </w:tc>
        <w:tc>
          <w:tcPr>
            <w:tcW w:w="1893" w:type="dxa"/>
            <w:noWrap w:val="0"/>
            <w:vAlign w:val="center"/>
          </w:tcPr>
          <w:p w14:paraId="6F3601A0">
            <w:pPr>
              <w:pStyle w:val="10"/>
              <w:keepNext w:val="0"/>
              <w:keepLines w:val="0"/>
              <w:widowControl/>
              <w:suppressLineNumbers w:val="0"/>
              <w:jc w:val="center"/>
              <w:textAlignment w:val="center"/>
              <w:rPr>
                <w:rFonts w:hint="eastAsia"/>
                <w:b/>
                <w:bCs/>
                <w:color w:val="auto"/>
                <w:highlight w:val="none"/>
                <w:lang w:val="en-US" w:eastAsia="zh-CN"/>
              </w:rPr>
            </w:pPr>
            <w:r>
              <w:rPr>
                <w:rFonts w:hint="eastAsia"/>
                <w:b/>
                <w:bCs/>
                <w:color w:val="auto"/>
                <w:highlight w:val="none"/>
                <w:lang w:val="en-US" w:eastAsia="zh-CN"/>
              </w:rPr>
              <w:t>仓储用地</w:t>
            </w:r>
          </w:p>
        </w:tc>
      </w:tr>
      <w:tr w14:paraId="7B7E8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8" w:hRule="atLeast"/>
          <w:jc w:val="center"/>
        </w:trPr>
        <w:tc>
          <w:tcPr>
            <w:tcW w:w="3307" w:type="dxa"/>
            <w:vMerge w:val="continue"/>
            <w:noWrap/>
            <w:vAlign w:val="center"/>
          </w:tcPr>
          <w:p w14:paraId="339B3C85">
            <w:pPr>
              <w:pStyle w:val="10"/>
              <w:widowControl/>
              <w:jc w:val="center"/>
              <w:textAlignment w:val="center"/>
              <w:rPr>
                <w:rFonts w:hint="eastAsia" w:ascii="仿宋" w:hAnsi="仿宋" w:eastAsia="仿宋" w:cs="仿宋"/>
                <w:b/>
                <w:bCs/>
                <w:i w:val="0"/>
                <w:iCs w:val="0"/>
                <w:color w:val="auto"/>
                <w:kern w:val="0"/>
                <w:sz w:val="21"/>
                <w:szCs w:val="21"/>
                <w:highlight w:val="none"/>
                <w:u w:val="none"/>
                <w:lang w:bidi="ar"/>
              </w:rPr>
            </w:pPr>
          </w:p>
        </w:tc>
        <w:tc>
          <w:tcPr>
            <w:tcW w:w="1846" w:type="dxa"/>
            <w:noWrap w:val="0"/>
            <w:vAlign w:val="center"/>
          </w:tcPr>
          <w:p w14:paraId="6D9C657D">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i w:val="0"/>
                <w:iCs w:val="0"/>
                <w:color w:val="auto"/>
                <w:kern w:val="0"/>
                <w:sz w:val="21"/>
                <w:szCs w:val="21"/>
                <w:highlight w:val="none"/>
                <w:u w:val="none"/>
                <w:lang w:val="en-US" w:eastAsia="zh-CN" w:bidi="ar"/>
              </w:rPr>
              <w:t>级别</w:t>
            </w:r>
          </w:p>
        </w:tc>
        <w:tc>
          <w:tcPr>
            <w:tcW w:w="1893" w:type="dxa"/>
            <w:noWrap w:val="0"/>
            <w:vAlign w:val="center"/>
          </w:tcPr>
          <w:p w14:paraId="3BD4FEFD">
            <w:pPr>
              <w:pStyle w:val="10"/>
              <w:keepNext w:val="0"/>
              <w:keepLines w:val="0"/>
              <w:widowControl/>
              <w:suppressLineNumbers w:val="0"/>
              <w:jc w:val="center"/>
              <w:textAlignment w:val="center"/>
              <w:rPr>
                <w:rFonts w:hint="eastAsia" w:ascii="仿宋" w:hAnsi="仿宋" w:eastAsia="仿宋" w:cs="仿宋"/>
                <w:b/>
                <w:bCs/>
                <w:i w:val="0"/>
                <w:iCs w:val="0"/>
                <w:color w:val="auto"/>
                <w:kern w:val="0"/>
                <w:sz w:val="21"/>
                <w:szCs w:val="21"/>
                <w:highlight w:val="none"/>
                <w:u w:val="none"/>
                <w:lang w:bidi="ar"/>
              </w:rPr>
            </w:pPr>
            <w:r>
              <w:rPr>
                <w:rFonts w:hint="eastAsia" w:ascii="仿宋" w:hAnsi="仿宋" w:eastAsia="仿宋" w:cs="仿宋"/>
                <w:b/>
                <w:bCs/>
                <w:color w:val="auto"/>
                <w:kern w:val="0"/>
                <w:sz w:val="21"/>
                <w:szCs w:val="21"/>
                <w:highlight w:val="none"/>
                <w:lang w:val="en-US" w:eastAsia="zh-CN" w:bidi="ar"/>
              </w:rPr>
              <w:t>元/㎡</w:t>
            </w:r>
          </w:p>
        </w:tc>
        <w:tc>
          <w:tcPr>
            <w:tcW w:w="1893" w:type="dxa"/>
            <w:shd w:val="clear" w:color="auto" w:fill="auto"/>
            <w:noWrap w:val="0"/>
            <w:vAlign w:val="center"/>
          </w:tcPr>
          <w:p w14:paraId="27F07060">
            <w:pPr>
              <w:pStyle w:val="10"/>
              <w:keepNext w:val="0"/>
              <w:keepLines w:val="0"/>
              <w:widowControl/>
              <w:suppressLineNumbers w:val="0"/>
              <w:ind w:firstLine="0" w:firstLineChars="0"/>
              <w:jc w:val="center"/>
              <w:textAlignment w:val="center"/>
              <w:rPr>
                <w:rFonts w:hint="eastAsia" w:ascii="仿宋" w:hAnsi="仿宋" w:eastAsia="仿宋" w:cs="仿宋"/>
                <w:b/>
                <w:bCs/>
                <w:i w:val="0"/>
                <w:iCs w:val="0"/>
                <w:snapToGrid w:val="0"/>
                <w:color w:val="auto"/>
                <w:kern w:val="0"/>
                <w:sz w:val="21"/>
                <w:szCs w:val="21"/>
                <w:highlight w:val="none"/>
                <w:u w:val="none"/>
                <w:lang w:val="en-US" w:eastAsia="zh-CN" w:bidi="ar"/>
              </w:rPr>
            </w:pPr>
            <w:r>
              <w:rPr>
                <w:rFonts w:hint="eastAsia" w:ascii="仿宋" w:hAnsi="仿宋" w:eastAsia="仿宋" w:cs="仿宋"/>
                <w:b/>
                <w:bCs/>
                <w:color w:val="auto"/>
                <w:kern w:val="0"/>
                <w:sz w:val="21"/>
                <w:szCs w:val="21"/>
                <w:highlight w:val="none"/>
                <w:lang w:val="en-US" w:eastAsia="zh-CN" w:bidi="ar"/>
              </w:rPr>
              <w:t>元/㎡</w:t>
            </w:r>
          </w:p>
        </w:tc>
      </w:tr>
      <w:tr w14:paraId="11712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3307" w:type="dxa"/>
            <w:vMerge w:val="restart"/>
            <w:noWrap/>
            <w:vAlign w:val="center"/>
          </w:tcPr>
          <w:p w14:paraId="7C065DB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cs="仿宋"/>
                <w:b w:val="0"/>
                <w:bCs w:val="0"/>
                <w:color w:val="auto"/>
                <w:kern w:val="0"/>
                <w:sz w:val="21"/>
                <w:szCs w:val="21"/>
                <w:highlight w:val="none"/>
                <w:u w:val="none"/>
                <w:lang w:val="en-US" w:eastAsia="zh-CN" w:bidi="ar"/>
              </w:rPr>
              <w:t>巴彦淖尔甘其毛都口岸加工园区</w:t>
            </w:r>
          </w:p>
        </w:tc>
        <w:tc>
          <w:tcPr>
            <w:tcW w:w="1846" w:type="dxa"/>
            <w:noWrap w:val="0"/>
            <w:vAlign w:val="center"/>
          </w:tcPr>
          <w:p w14:paraId="45A8C298">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Ⅰ</w:t>
            </w:r>
          </w:p>
        </w:tc>
        <w:tc>
          <w:tcPr>
            <w:tcW w:w="1893" w:type="dxa"/>
            <w:noWrap w:val="0"/>
            <w:vAlign w:val="center"/>
          </w:tcPr>
          <w:p w14:paraId="4203726F">
            <w:pPr>
              <w:pStyle w:val="10"/>
              <w:bidi w:val="0"/>
              <w:ind w:firstLine="0" w:firstLineChars="0"/>
              <w:rPr>
                <w:rFonts w:hint="eastAsia" w:ascii="仿宋" w:hAnsi="仿宋" w:eastAsia="仿宋" w:cs="仿宋"/>
                <w:color w:val="auto"/>
                <w:kern w:val="0"/>
                <w:sz w:val="21"/>
                <w:szCs w:val="21"/>
                <w:highlight w:val="none"/>
                <w:lang w:val="en-US" w:eastAsia="zh-CN" w:bidi="ar"/>
              </w:rPr>
            </w:pPr>
            <w:r>
              <w:rPr>
                <w:rFonts w:hint="eastAsia"/>
                <w:color w:val="auto"/>
                <w:highlight w:val="none"/>
                <w:lang w:val="en-US" w:eastAsia="zh-CN"/>
              </w:rPr>
              <w:t>93</w:t>
            </w:r>
          </w:p>
        </w:tc>
        <w:tc>
          <w:tcPr>
            <w:tcW w:w="1893" w:type="dxa"/>
            <w:shd w:val="clear" w:color="auto" w:fill="auto"/>
            <w:noWrap w:val="0"/>
            <w:vAlign w:val="center"/>
          </w:tcPr>
          <w:p w14:paraId="33448A9F">
            <w:pPr>
              <w:pStyle w:val="10"/>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color w:val="auto"/>
                <w:highlight w:val="none"/>
                <w:lang w:val="en-US" w:eastAsia="zh-CN"/>
              </w:rPr>
              <w:t>93</w:t>
            </w:r>
          </w:p>
        </w:tc>
      </w:tr>
      <w:tr w14:paraId="6C09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jc w:val="center"/>
        </w:trPr>
        <w:tc>
          <w:tcPr>
            <w:tcW w:w="3307" w:type="dxa"/>
            <w:vMerge w:val="continue"/>
            <w:noWrap/>
            <w:vAlign w:val="center"/>
          </w:tcPr>
          <w:p w14:paraId="4356028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p>
        </w:tc>
        <w:tc>
          <w:tcPr>
            <w:tcW w:w="1846" w:type="dxa"/>
            <w:noWrap w:val="0"/>
            <w:vAlign w:val="center"/>
          </w:tcPr>
          <w:p w14:paraId="0900B1AB">
            <w:pPr>
              <w:pStyle w:val="10"/>
              <w:keepNext w:val="0"/>
              <w:keepLines w:val="0"/>
              <w:widowControl/>
              <w:suppressLineNumbers w:val="0"/>
              <w:jc w:val="center"/>
              <w:textAlignment w:val="center"/>
              <w:rPr>
                <w:rFonts w:hint="eastAsia" w:ascii="仿宋" w:hAnsi="仿宋" w:eastAsia="仿宋" w:cs="仿宋"/>
                <w:i w:val="0"/>
                <w:iCs w:val="0"/>
                <w:color w:val="auto"/>
                <w:kern w:val="0"/>
                <w:sz w:val="21"/>
                <w:szCs w:val="21"/>
                <w:highlight w:val="none"/>
                <w:u w:val="none"/>
                <w:lang w:val="en-US" w:eastAsia="zh-CN" w:bidi="ar"/>
              </w:rPr>
            </w:pPr>
            <w:r>
              <w:rPr>
                <w:rFonts w:hint="eastAsia" w:ascii="仿宋" w:hAnsi="仿宋" w:eastAsia="仿宋" w:cs="仿宋"/>
                <w:i w:val="0"/>
                <w:iCs w:val="0"/>
                <w:color w:val="auto"/>
                <w:kern w:val="0"/>
                <w:sz w:val="21"/>
                <w:szCs w:val="21"/>
                <w:highlight w:val="none"/>
                <w:u w:val="none"/>
                <w:lang w:val="en-US" w:eastAsia="zh-CN" w:bidi="ar"/>
              </w:rPr>
              <w:t>Ⅱ</w:t>
            </w:r>
          </w:p>
        </w:tc>
        <w:tc>
          <w:tcPr>
            <w:tcW w:w="1893" w:type="dxa"/>
            <w:noWrap w:val="0"/>
            <w:vAlign w:val="center"/>
          </w:tcPr>
          <w:p w14:paraId="453474C6">
            <w:pPr>
              <w:pStyle w:val="10"/>
              <w:bidi w:val="0"/>
              <w:ind w:firstLine="0" w:firstLineChars="0"/>
              <w:rPr>
                <w:rFonts w:hint="eastAsia" w:ascii="仿宋" w:hAnsi="仿宋" w:eastAsia="仿宋" w:cs="仿宋"/>
                <w:color w:val="auto"/>
                <w:kern w:val="0"/>
                <w:sz w:val="21"/>
                <w:szCs w:val="21"/>
                <w:highlight w:val="none"/>
                <w:lang w:val="en-US" w:eastAsia="zh-CN" w:bidi="ar"/>
              </w:rPr>
            </w:pPr>
            <w:r>
              <w:rPr>
                <w:rFonts w:hint="eastAsia"/>
                <w:color w:val="auto"/>
                <w:highlight w:val="none"/>
                <w:lang w:val="en-US" w:eastAsia="zh-CN"/>
              </w:rPr>
              <w:t>78</w:t>
            </w:r>
          </w:p>
        </w:tc>
        <w:tc>
          <w:tcPr>
            <w:tcW w:w="1893" w:type="dxa"/>
            <w:shd w:val="clear" w:color="auto" w:fill="auto"/>
            <w:noWrap w:val="0"/>
            <w:vAlign w:val="center"/>
          </w:tcPr>
          <w:p w14:paraId="03EDFE65">
            <w:pPr>
              <w:pStyle w:val="10"/>
              <w:bidi w:val="0"/>
              <w:ind w:firstLine="0" w:firstLineChars="0"/>
              <w:rPr>
                <w:rFonts w:hint="eastAsia" w:ascii="仿宋" w:hAnsi="仿宋" w:eastAsia="仿宋" w:cs="仿宋"/>
                <w:snapToGrid w:val="0"/>
                <w:color w:val="auto"/>
                <w:kern w:val="0"/>
                <w:sz w:val="21"/>
                <w:szCs w:val="21"/>
                <w:highlight w:val="none"/>
                <w:u w:val="none"/>
                <w:lang w:val="en-US" w:eastAsia="zh-CN" w:bidi="ar"/>
              </w:rPr>
            </w:pPr>
            <w:r>
              <w:rPr>
                <w:rFonts w:hint="eastAsia"/>
                <w:color w:val="auto"/>
                <w:highlight w:val="none"/>
                <w:lang w:val="en-US" w:eastAsia="zh-CN"/>
              </w:rPr>
              <w:t>78</w:t>
            </w:r>
          </w:p>
        </w:tc>
      </w:tr>
    </w:tbl>
    <w:p w14:paraId="52E6B05C">
      <w:pPr>
        <w:rPr>
          <w:rFonts w:hint="eastAsia" w:ascii="黑体" w:hAnsi="黑体" w:eastAsia="黑体" w:cs="黑体"/>
          <w:b/>
          <w:snapToGrid w:val="0"/>
          <w:color w:val="auto"/>
          <w:kern w:val="0"/>
          <w:sz w:val="32"/>
          <w:szCs w:val="32"/>
          <w:highlight w:val="none"/>
          <w:lang w:val="en-US" w:eastAsia="zh-CN" w:bidi="ar-SA"/>
        </w:rPr>
      </w:pPr>
      <w:r>
        <w:rPr>
          <w:rFonts w:hint="eastAsia" w:ascii="黑体" w:hAnsi="黑体" w:eastAsia="黑体" w:cs="黑体"/>
          <w:b/>
          <w:snapToGrid w:val="0"/>
          <w:color w:val="auto"/>
          <w:kern w:val="0"/>
          <w:sz w:val="32"/>
          <w:szCs w:val="32"/>
          <w:highlight w:val="none"/>
          <w:lang w:val="en-US" w:eastAsia="zh-CN" w:bidi="ar-SA"/>
        </w:rPr>
        <w:br w:type="page"/>
      </w:r>
    </w:p>
    <w:p w14:paraId="1AF4E6A8">
      <w:pPr>
        <w:bidi w:val="0"/>
        <w:spacing w:line="360" w:lineRule="auto"/>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巴彦淖尔甘其毛都口岸加工园区基准地价修正体系</w:t>
      </w:r>
    </w:p>
    <w:p w14:paraId="799A3C10">
      <w:pPr>
        <w:pStyle w:val="3"/>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cs="Times New Roman"/>
          <w:color w:val="000000"/>
          <w:highlight w:val="none"/>
          <w:lang w:val="en-US" w:eastAsia="zh-CN"/>
        </w:rPr>
      </w:pPr>
      <w:bookmarkStart w:id="0" w:name="_Toc25219"/>
      <w:bookmarkStart w:id="1" w:name="_Toc7293"/>
      <w:bookmarkStart w:id="2" w:name="_Toc522"/>
      <w:bookmarkStart w:id="3" w:name="_Toc18480"/>
      <w:bookmarkStart w:id="4" w:name="_Toc13748"/>
      <w:bookmarkStart w:id="5" w:name="_Toc26616"/>
      <w:r>
        <w:rPr>
          <w:rFonts w:hint="default" w:ascii="Times New Roman" w:hAnsi="Times New Roman" w:cs="Times New Roman"/>
          <w:color w:val="000000"/>
          <w:highlight w:val="none"/>
          <w:lang w:val="en-US" w:eastAsia="zh-CN"/>
        </w:rPr>
        <w:t>一、区位因素修正体系</w:t>
      </w:r>
      <w:bookmarkEnd w:id="0"/>
      <w:bookmarkEnd w:id="1"/>
      <w:bookmarkEnd w:id="2"/>
      <w:bookmarkEnd w:id="3"/>
      <w:bookmarkEnd w:id="4"/>
      <w:bookmarkEnd w:id="5"/>
      <w:bookmarkStart w:id="6" w:name="_Toc32254"/>
    </w:p>
    <w:bookmarkEnd w:id="6"/>
    <w:p w14:paraId="5D39371C">
      <w:pPr>
        <w:pStyle w:val="4"/>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02" w:firstLineChars="200"/>
        <w:textAlignment w:val="auto"/>
        <w:rPr>
          <w:rFonts w:hint="eastAsia" w:ascii="Times New Roman" w:hAnsi="Times New Roman" w:eastAsia="仿宋" w:cs="Times New Roman"/>
          <w:color w:val="000000"/>
          <w:sz w:val="30"/>
          <w:szCs w:val="30"/>
          <w:lang w:val="en-US" w:eastAsia="zh-CN"/>
        </w:rPr>
      </w:pPr>
      <w:bookmarkStart w:id="7" w:name="_Toc2291"/>
      <w:bookmarkStart w:id="8" w:name="_Toc29639"/>
      <w:bookmarkStart w:id="9" w:name="_Toc10661"/>
      <w:r>
        <w:rPr>
          <w:rFonts w:hint="eastAsia" w:ascii="Times New Roman" w:hAnsi="Times New Roman" w:eastAsia="仿宋" w:cs="Times New Roman"/>
          <w:color w:val="000000"/>
          <w:sz w:val="30"/>
          <w:szCs w:val="30"/>
          <w:lang w:val="en-US" w:eastAsia="zh-CN"/>
        </w:rPr>
        <w:t>（1）工矿用地和仓储用地区位因素修正体系</w:t>
      </w:r>
      <w:bookmarkEnd w:id="7"/>
    </w:p>
    <w:p w14:paraId="4839DBE0">
      <w:pPr>
        <w:pStyle w:val="5"/>
        <w:bidi w:val="0"/>
        <w:rPr>
          <w:rFonts w:hint="eastAsia"/>
          <w:lang w:val="en-US" w:eastAsia="zh-CN"/>
        </w:rPr>
      </w:pPr>
      <w:r>
        <w:rPr>
          <w:rFonts w:hint="eastAsia"/>
          <w:lang w:val="en-US" w:eastAsia="zh-CN"/>
        </w:rPr>
        <w:t>表1-1 巴彦淖尔甘其毛都口岸加工园区一级工矿用地和仓储用地影响因素指标说明表</w:t>
      </w:r>
    </w:p>
    <w:tbl>
      <w:tblPr>
        <w:tblStyle w:val="11"/>
        <w:tblW w:w="95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415"/>
        <w:gridCol w:w="787"/>
        <w:gridCol w:w="1213"/>
        <w:gridCol w:w="1614"/>
        <w:gridCol w:w="1556"/>
        <w:gridCol w:w="1585"/>
        <w:gridCol w:w="1349"/>
      </w:tblGrid>
      <w:tr w14:paraId="236A2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3" w:hRule="atLeast"/>
          <w:jc w:val="center"/>
        </w:trPr>
        <w:tc>
          <w:tcPr>
            <w:tcW w:w="1415" w:type="dxa"/>
            <w:vMerge w:val="restart"/>
            <w:tcBorders>
              <w:bottom w:val="nil"/>
              <w:tl2br w:val="single" w:color="000000" w:sz="4" w:space="0"/>
            </w:tcBorders>
            <w:noWrap w:val="0"/>
            <w:vAlign w:val="center"/>
          </w:tcPr>
          <w:p w14:paraId="26E965BA">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cs="仿宋"/>
                <w:b/>
                <w:bCs/>
                <w:i w:val="0"/>
                <w:iCs w:val="0"/>
                <w:color w:val="000000"/>
                <w:kern w:val="0"/>
                <w:sz w:val="22"/>
                <w:szCs w:val="22"/>
                <w:u w:val="none"/>
                <w:lang w:val="en-US" w:eastAsia="zh-CN" w:bidi="ar"/>
              </w:rPr>
              <w:t xml:space="preserve">   </w:t>
            </w:r>
            <w:r>
              <w:rPr>
                <w:rFonts w:hint="eastAsia" w:ascii="仿宋" w:hAnsi="仿宋" w:eastAsia="仿宋" w:cs="仿宋"/>
                <w:b/>
                <w:bCs/>
                <w:i w:val="0"/>
                <w:iCs w:val="0"/>
                <w:color w:val="000000"/>
                <w:kern w:val="0"/>
                <w:sz w:val="22"/>
                <w:szCs w:val="22"/>
                <w:u w:val="none"/>
                <w:lang w:val="en-US" w:eastAsia="zh-CN" w:bidi="ar"/>
              </w:rPr>
              <w:t>区域因素</w:t>
            </w:r>
          </w:p>
          <w:p w14:paraId="3F512519">
            <w:pPr>
              <w:pStyle w:val="10"/>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修正因子</w:t>
            </w:r>
          </w:p>
        </w:tc>
        <w:tc>
          <w:tcPr>
            <w:tcW w:w="787" w:type="dxa"/>
            <w:vMerge w:val="restart"/>
            <w:tcBorders>
              <w:bottom w:val="nil"/>
            </w:tcBorders>
            <w:noWrap w:val="0"/>
            <w:vAlign w:val="center"/>
          </w:tcPr>
          <w:p w14:paraId="5E2B7DF0">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权重</w:t>
            </w:r>
          </w:p>
        </w:tc>
        <w:tc>
          <w:tcPr>
            <w:tcW w:w="7317" w:type="dxa"/>
            <w:gridSpan w:val="5"/>
            <w:noWrap w:val="0"/>
            <w:vAlign w:val="center"/>
          </w:tcPr>
          <w:p w14:paraId="06D0FB8D">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一级地</w:t>
            </w:r>
          </w:p>
        </w:tc>
      </w:tr>
      <w:tr w14:paraId="2D0218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23" w:hRule="atLeast"/>
          <w:jc w:val="center"/>
        </w:trPr>
        <w:tc>
          <w:tcPr>
            <w:tcW w:w="1415" w:type="dxa"/>
            <w:vMerge w:val="continue"/>
            <w:tcBorders>
              <w:top w:val="nil"/>
              <w:tl2br w:val="single" w:color="000000" w:sz="4" w:space="0"/>
            </w:tcBorders>
            <w:noWrap w:val="0"/>
            <w:vAlign w:val="center"/>
          </w:tcPr>
          <w:p w14:paraId="63C23F93">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p>
        </w:tc>
        <w:tc>
          <w:tcPr>
            <w:tcW w:w="787" w:type="dxa"/>
            <w:vMerge w:val="continue"/>
            <w:tcBorders>
              <w:top w:val="nil"/>
            </w:tcBorders>
            <w:noWrap w:val="0"/>
            <w:vAlign w:val="center"/>
          </w:tcPr>
          <w:p w14:paraId="77744492">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p>
        </w:tc>
        <w:tc>
          <w:tcPr>
            <w:tcW w:w="1213" w:type="dxa"/>
            <w:noWrap w:val="0"/>
            <w:vAlign w:val="center"/>
          </w:tcPr>
          <w:p w14:paraId="02D39286">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优</w:t>
            </w:r>
          </w:p>
        </w:tc>
        <w:tc>
          <w:tcPr>
            <w:tcW w:w="1614" w:type="dxa"/>
            <w:noWrap w:val="0"/>
            <w:vAlign w:val="center"/>
          </w:tcPr>
          <w:p w14:paraId="114BCA3B">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较优</w:t>
            </w:r>
          </w:p>
        </w:tc>
        <w:tc>
          <w:tcPr>
            <w:tcW w:w="1556" w:type="dxa"/>
            <w:noWrap w:val="0"/>
            <w:vAlign w:val="center"/>
          </w:tcPr>
          <w:p w14:paraId="65D554C7">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一般</w:t>
            </w:r>
          </w:p>
        </w:tc>
        <w:tc>
          <w:tcPr>
            <w:tcW w:w="1585" w:type="dxa"/>
            <w:noWrap w:val="0"/>
            <w:vAlign w:val="center"/>
          </w:tcPr>
          <w:p w14:paraId="2EA95824">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较劣</w:t>
            </w:r>
          </w:p>
        </w:tc>
        <w:tc>
          <w:tcPr>
            <w:tcW w:w="1349" w:type="dxa"/>
            <w:noWrap w:val="0"/>
            <w:vAlign w:val="center"/>
          </w:tcPr>
          <w:p w14:paraId="32AC4E85">
            <w:pPr>
              <w:pStyle w:val="10"/>
              <w:widowControl/>
              <w:overflowPunct w:val="0"/>
              <w:topLinePunct/>
              <w:autoSpaceDE w:val="0"/>
              <w:autoSpaceDN w:val="0"/>
              <w:spacing w:line="240" w:lineRule="auto"/>
              <w:ind w:firstLine="0" w:firstLineChars="0"/>
              <w:jc w:val="center"/>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劣</w:t>
            </w:r>
          </w:p>
        </w:tc>
      </w:tr>
      <w:tr w14:paraId="4A1703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5" w:hRule="atLeast"/>
          <w:jc w:val="center"/>
        </w:trPr>
        <w:tc>
          <w:tcPr>
            <w:tcW w:w="1415" w:type="dxa"/>
            <w:noWrap w:val="0"/>
            <w:vAlign w:val="center"/>
          </w:tcPr>
          <w:p w14:paraId="397FFF2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道路通达度</w:t>
            </w:r>
          </w:p>
        </w:tc>
        <w:tc>
          <w:tcPr>
            <w:tcW w:w="787" w:type="dxa"/>
            <w:noWrap w:val="0"/>
            <w:vAlign w:val="center"/>
          </w:tcPr>
          <w:p w14:paraId="183FE38B">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32%</w:t>
            </w:r>
          </w:p>
        </w:tc>
        <w:tc>
          <w:tcPr>
            <w:tcW w:w="1213" w:type="dxa"/>
            <w:noWrap w:val="0"/>
            <w:vAlign w:val="center"/>
          </w:tcPr>
          <w:p w14:paraId="0B26B89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混合型主干道</w:t>
            </w:r>
          </w:p>
        </w:tc>
        <w:tc>
          <w:tcPr>
            <w:tcW w:w="1614" w:type="dxa"/>
            <w:noWrap w:val="0"/>
            <w:vAlign w:val="center"/>
          </w:tcPr>
          <w:p w14:paraId="30CC67F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交通型主干道</w:t>
            </w:r>
          </w:p>
        </w:tc>
        <w:tc>
          <w:tcPr>
            <w:tcW w:w="1556" w:type="dxa"/>
            <w:noWrap w:val="0"/>
            <w:vAlign w:val="center"/>
          </w:tcPr>
          <w:p w14:paraId="55B3484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生活型主干道或交通型次干道</w:t>
            </w:r>
          </w:p>
        </w:tc>
        <w:tc>
          <w:tcPr>
            <w:tcW w:w="1585" w:type="dxa"/>
            <w:noWrap w:val="0"/>
            <w:vAlign w:val="center"/>
          </w:tcPr>
          <w:p w14:paraId="603E8D5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生活型次干道</w:t>
            </w:r>
          </w:p>
        </w:tc>
        <w:tc>
          <w:tcPr>
            <w:tcW w:w="1349" w:type="dxa"/>
            <w:noWrap w:val="0"/>
            <w:vAlign w:val="center"/>
          </w:tcPr>
          <w:p w14:paraId="66EF052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支路</w:t>
            </w:r>
          </w:p>
        </w:tc>
      </w:tr>
      <w:tr w14:paraId="65066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5" w:hRule="atLeast"/>
          <w:jc w:val="center"/>
        </w:trPr>
        <w:tc>
          <w:tcPr>
            <w:tcW w:w="1415" w:type="dxa"/>
            <w:noWrap w:val="0"/>
            <w:vAlign w:val="center"/>
          </w:tcPr>
          <w:p w14:paraId="39F0C752">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距货运站距离（m）</w:t>
            </w:r>
          </w:p>
        </w:tc>
        <w:tc>
          <w:tcPr>
            <w:tcW w:w="787" w:type="dxa"/>
            <w:noWrap w:val="0"/>
            <w:vAlign w:val="center"/>
          </w:tcPr>
          <w:p w14:paraId="696B0626">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15%</w:t>
            </w:r>
          </w:p>
        </w:tc>
        <w:tc>
          <w:tcPr>
            <w:tcW w:w="1213" w:type="dxa"/>
            <w:noWrap w:val="0"/>
            <w:vAlign w:val="center"/>
          </w:tcPr>
          <w:p w14:paraId="25A9C63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≤2000</w:t>
            </w:r>
          </w:p>
        </w:tc>
        <w:tc>
          <w:tcPr>
            <w:tcW w:w="1614" w:type="dxa"/>
            <w:noWrap w:val="0"/>
            <w:vAlign w:val="center"/>
          </w:tcPr>
          <w:p w14:paraId="5C7C006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(2000-3000]</w:t>
            </w:r>
          </w:p>
        </w:tc>
        <w:tc>
          <w:tcPr>
            <w:tcW w:w="1556" w:type="dxa"/>
            <w:noWrap w:val="0"/>
            <w:vAlign w:val="center"/>
          </w:tcPr>
          <w:p w14:paraId="17805FC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(3000-4000]</w:t>
            </w:r>
          </w:p>
        </w:tc>
        <w:tc>
          <w:tcPr>
            <w:tcW w:w="1585" w:type="dxa"/>
            <w:noWrap w:val="0"/>
            <w:vAlign w:val="center"/>
          </w:tcPr>
          <w:p w14:paraId="06CA154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(4000-5000]</w:t>
            </w:r>
          </w:p>
        </w:tc>
        <w:tc>
          <w:tcPr>
            <w:tcW w:w="1349" w:type="dxa"/>
            <w:noWrap w:val="0"/>
            <w:vAlign w:val="center"/>
          </w:tcPr>
          <w:p w14:paraId="77F497F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&gt;5000</w:t>
            </w:r>
          </w:p>
        </w:tc>
      </w:tr>
      <w:tr w14:paraId="392FFF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858" w:hRule="atLeast"/>
          <w:jc w:val="center"/>
        </w:trPr>
        <w:tc>
          <w:tcPr>
            <w:tcW w:w="1415" w:type="dxa"/>
            <w:noWrap w:val="0"/>
            <w:vAlign w:val="center"/>
          </w:tcPr>
          <w:p w14:paraId="4FA0AB0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产业集聚影响度</w:t>
            </w:r>
          </w:p>
        </w:tc>
        <w:tc>
          <w:tcPr>
            <w:tcW w:w="787" w:type="dxa"/>
            <w:noWrap w:val="0"/>
            <w:vAlign w:val="center"/>
          </w:tcPr>
          <w:p w14:paraId="04205A4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20%</w:t>
            </w:r>
          </w:p>
        </w:tc>
        <w:tc>
          <w:tcPr>
            <w:tcW w:w="1213" w:type="dxa"/>
            <w:noWrap w:val="0"/>
            <w:vAlign w:val="center"/>
          </w:tcPr>
          <w:p w14:paraId="44FAF50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分布密集的工业园区</w:t>
            </w:r>
          </w:p>
        </w:tc>
        <w:tc>
          <w:tcPr>
            <w:tcW w:w="1614" w:type="dxa"/>
            <w:noWrap w:val="0"/>
            <w:vAlign w:val="center"/>
          </w:tcPr>
          <w:p w14:paraId="28E2E79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p>
        </w:tc>
        <w:tc>
          <w:tcPr>
            <w:tcW w:w="1556" w:type="dxa"/>
            <w:noWrap w:val="0"/>
            <w:vAlign w:val="center"/>
          </w:tcPr>
          <w:p w14:paraId="6CB6708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零星工业分布区</w:t>
            </w:r>
          </w:p>
        </w:tc>
        <w:tc>
          <w:tcPr>
            <w:tcW w:w="1585" w:type="dxa"/>
            <w:noWrap w:val="0"/>
            <w:vAlign w:val="center"/>
          </w:tcPr>
          <w:p w14:paraId="0CA44766">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p>
        </w:tc>
        <w:tc>
          <w:tcPr>
            <w:tcW w:w="1349" w:type="dxa"/>
            <w:noWrap w:val="0"/>
            <w:vAlign w:val="center"/>
          </w:tcPr>
          <w:p w14:paraId="35203A2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无工业用地分布区</w:t>
            </w:r>
          </w:p>
        </w:tc>
      </w:tr>
      <w:tr w14:paraId="63DB2C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9" w:hRule="atLeast"/>
          <w:jc w:val="center"/>
        </w:trPr>
        <w:tc>
          <w:tcPr>
            <w:tcW w:w="1415" w:type="dxa"/>
            <w:noWrap w:val="0"/>
            <w:vAlign w:val="center"/>
          </w:tcPr>
          <w:p w14:paraId="3A5E4B34">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宗地临路状况</w:t>
            </w:r>
          </w:p>
        </w:tc>
        <w:tc>
          <w:tcPr>
            <w:tcW w:w="787" w:type="dxa"/>
            <w:noWrap w:val="0"/>
            <w:vAlign w:val="center"/>
          </w:tcPr>
          <w:p w14:paraId="79E1345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20%</w:t>
            </w:r>
          </w:p>
        </w:tc>
        <w:tc>
          <w:tcPr>
            <w:tcW w:w="1213" w:type="dxa"/>
            <w:noWrap w:val="0"/>
            <w:vAlign w:val="center"/>
          </w:tcPr>
          <w:p w14:paraId="6B34134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三面临街</w:t>
            </w:r>
          </w:p>
        </w:tc>
        <w:tc>
          <w:tcPr>
            <w:tcW w:w="1614" w:type="dxa"/>
            <w:noWrap w:val="0"/>
            <w:vAlign w:val="center"/>
          </w:tcPr>
          <w:p w14:paraId="77FE05C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两面临街</w:t>
            </w:r>
          </w:p>
        </w:tc>
        <w:tc>
          <w:tcPr>
            <w:tcW w:w="1556" w:type="dxa"/>
            <w:noWrap w:val="0"/>
            <w:vAlign w:val="center"/>
          </w:tcPr>
          <w:p w14:paraId="0F2D96D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一面临街</w:t>
            </w:r>
          </w:p>
        </w:tc>
        <w:tc>
          <w:tcPr>
            <w:tcW w:w="1585" w:type="dxa"/>
            <w:noWrap w:val="0"/>
            <w:vAlign w:val="center"/>
          </w:tcPr>
          <w:p w14:paraId="382D0EB3">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不临街，离街较近</w:t>
            </w:r>
          </w:p>
        </w:tc>
        <w:tc>
          <w:tcPr>
            <w:tcW w:w="1349" w:type="dxa"/>
            <w:noWrap w:val="0"/>
            <w:vAlign w:val="center"/>
          </w:tcPr>
          <w:p w14:paraId="6CA856F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不临街，离街较远</w:t>
            </w:r>
          </w:p>
        </w:tc>
      </w:tr>
      <w:tr w14:paraId="490806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5" w:hRule="atLeast"/>
          <w:jc w:val="center"/>
        </w:trPr>
        <w:tc>
          <w:tcPr>
            <w:tcW w:w="1415" w:type="dxa"/>
            <w:noWrap w:val="0"/>
            <w:vAlign w:val="center"/>
          </w:tcPr>
          <w:p w14:paraId="7B7060F2">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规划用途对地价的影响</w:t>
            </w:r>
          </w:p>
        </w:tc>
        <w:tc>
          <w:tcPr>
            <w:tcW w:w="787" w:type="dxa"/>
            <w:noWrap w:val="0"/>
            <w:vAlign w:val="center"/>
          </w:tcPr>
          <w:p w14:paraId="6BCB007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13%</w:t>
            </w:r>
          </w:p>
        </w:tc>
        <w:tc>
          <w:tcPr>
            <w:tcW w:w="1213" w:type="dxa"/>
            <w:noWrap w:val="0"/>
            <w:vAlign w:val="center"/>
          </w:tcPr>
          <w:p w14:paraId="3D01A32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工业用地</w:t>
            </w:r>
          </w:p>
        </w:tc>
        <w:tc>
          <w:tcPr>
            <w:tcW w:w="1614" w:type="dxa"/>
            <w:noWrap w:val="0"/>
            <w:vAlign w:val="center"/>
          </w:tcPr>
          <w:p w14:paraId="1EE4F806">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商服用地、文化娱乐用地</w:t>
            </w:r>
          </w:p>
        </w:tc>
        <w:tc>
          <w:tcPr>
            <w:tcW w:w="1556" w:type="dxa"/>
            <w:noWrap w:val="0"/>
            <w:vAlign w:val="center"/>
          </w:tcPr>
          <w:p w14:paraId="098AC4E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住宅用地、行政办公用地</w:t>
            </w:r>
          </w:p>
        </w:tc>
        <w:tc>
          <w:tcPr>
            <w:tcW w:w="1585" w:type="dxa"/>
            <w:noWrap w:val="0"/>
            <w:vAlign w:val="center"/>
          </w:tcPr>
          <w:p w14:paraId="485528E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市政设施用地、广场用地</w:t>
            </w:r>
          </w:p>
        </w:tc>
        <w:tc>
          <w:tcPr>
            <w:tcW w:w="1349" w:type="dxa"/>
            <w:noWrap w:val="0"/>
            <w:vAlign w:val="center"/>
          </w:tcPr>
          <w:p w14:paraId="09AFE457">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其他用地</w:t>
            </w:r>
          </w:p>
        </w:tc>
      </w:tr>
    </w:tbl>
    <w:p w14:paraId="45E04FC7">
      <w:pPr>
        <w:pStyle w:val="5"/>
        <w:bidi w:val="0"/>
        <w:rPr>
          <w:rFonts w:hint="eastAsia"/>
          <w:lang w:val="en-US" w:eastAsia="zh-CN"/>
        </w:rPr>
      </w:pPr>
      <w:r>
        <w:rPr>
          <w:rFonts w:hint="eastAsia"/>
          <w:lang w:val="en-US" w:eastAsia="zh-CN"/>
        </w:rPr>
        <w:t>表1-2 巴彦淖尔甘其毛都口岸加工园区一级工矿用地和仓储用地基准地价修正系数表</w:t>
      </w:r>
    </w:p>
    <w:tbl>
      <w:tblPr>
        <w:tblStyle w:val="8"/>
        <w:tblW w:w="5334"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174"/>
        <w:gridCol w:w="1206"/>
        <w:gridCol w:w="1147"/>
        <w:gridCol w:w="1272"/>
        <w:gridCol w:w="1206"/>
        <w:gridCol w:w="1276"/>
        <w:gridCol w:w="1335"/>
      </w:tblGrid>
      <w:tr w14:paraId="37F5BA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vMerge w:val="restart"/>
            <w:tcBorders>
              <w:bottom w:val="nil"/>
              <w:tl2br w:val="single" w:color="000000" w:sz="4" w:space="0"/>
            </w:tcBorders>
            <w:noWrap w:val="0"/>
            <w:vAlign w:val="center"/>
          </w:tcPr>
          <w:p w14:paraId="41C1DC8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 xml:space="preserve">          区域因素</w:t>
            </w:r>
          </w:p>
          <w:p w14:paraId="4417B1FA">
            <w:pPr>
              <w:pStyle w:val="10"/>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修正因子</w:t>
            </w:r>
          </w:p>
        </w:tc>
        <w:tc>
          <w:tcPr>
            <w:tcW w:w="627" w:type="pct"/>
            <w:vMerge w:val="restart"/>
            <w:tcBorders>
              <w:bottom w:val="nil"/>
            </w:tcBorders>
            <w:noWrap w:val="0"/>
            <w:vAlign w:val="center"/>
          </w:tcPr>
          <w:p w14:paraId="6550DBB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p w14:paraId="7A86937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权重</w:t>
            </w:r>
          </w:p>
        </w:tc>
        <w:tc>
          <w:tcPr>
            <w:tcW w:w="3241" w:type="pct"/>
            <w:gridSpan w:val="5"/>
            <w:noWrap w:val="0"/>
            <w:vAlign w:val="center"/>
          </w:tcPr>
          <w:p w14:paraId="7223700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一级地</w:t>
            </w:r>
          </w:p>
        </w:tc>
      </w:tr>
      <w:tr w14:paraId="2A8F57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vMerge w:val="continue"/>
            <w:tcBorders>
              <w:top w:val="nil"/>
              <w:tl2br w:val="single" w:color="000000" w:sz="4" w:space="0"/>
            </w:tcBorders>
            <w:noWrap w:val="0"/>
            <w:vAlign w:val="center"/>
          </w:tcPr>
          <w:p w14:paraId="0F7FBD2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tc>
        <w:tc>
          <w:tcPr>
            <w:tcW w:w="627" w:type="pct"/>
            <w:vMerge w:val="continue"/>
            <w:tcBorders>
              <w:top w:val="nil"/>
            </w:tcBorders>
            <w:noWrap w:val="0"/>
            <w:vAlign w:val="center"/>
          </w:tcPr>
          <w:p w14:paraId="076362D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tc>
        <w:tc>
          <w:tcPr>
            <w:tcW w:w="596" w:type="pct"/>
            <w:noWrap w:val="0"/>
            <w:vAlign w:val="center"/>
          </w:tcPr>
          <w:p w14:paraId="24494C5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优</w:t>
            </w:r>
          </w:p>
        </w:tc>
        <w:tc>
          <w:tcPr>
            <w:tcW w:w="661" w:type="pct"/>
            <w:noWrap w:val="0"/>
            <w:vAlign w:val="center"/>
          </w:tcPr>
          <w:p w14:paraId="6DDE211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较优</w:t>
            </w:r>
          </w:p>
        </w:tc>
        <w:tc>
          <w:tcPr>
            <w:tcW w:w="627" w:type="pct"/>
            <w:noWrap w:val="0"/>
            <w:vAlign w:val="center"/>
          </w:tcPr>
          <w:p w14:paraId="13CBFF7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一般</w:t>
            </w:r>
          </w:p>
        </w:tc>
        <w:tc>
          <w:tcPr>
            <w:tcW w:w="663" w:type="pct"/>
            <w:noWrap w:val="0"/>
            <w:vAlign w:val="center"/>
          </w:tcPr>
          <w:p w14:paraId="73F8068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较劣</w:t>
            </w:r>
          </w:p>
        </w:tc>
        <w:tc>
          <w:tcPr>
            <w:tcW w:w="693" w:type="pct"/>
            <w:noWrap w:val="0"/>
            <w:vAlign w:val="center"/>
          </w:tcPr>
          <w:p w14:paraId="2B23BF6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劣</w:t>
            </w:r>
          </w:p>
        </w:tc>
      </w:tr>
      <w:tr w14:paraId="00DEA1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noWrap w:val="0"/>
            <w:vAlign w:val="center"/>
          </w:tcPr>
          <w:p w14:paraId="35EEBE2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道路通达度</w:t>
            </w:r>
          </w:p>
        </w:tc>
        <w:tc>
          <w:tcPr>
            <w:tcW w:w="627" w:type="pct"/>
            <w:noWrap w:val="0"/>
            <w:vAlign w:val="center"/>
          </w:tcPr>
          <w:p w14:paraId="13F41467">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32%</w:t>
            </w:r>
          </w:p>
        </w:tc>
        <w:tc>
          <w:tcPr>
            <w:tcW w:w="596" w:type="pct"/>
            <w:noWrap w:val="0"/>
            <w:vAlign w:val="center"/>
          </w:tcPr>
          <w:p w14:paraId="1DE3B6C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0.0653</w:t>
            </w:r>
          </w:p>
        </w:tc>
        <w:tc>
          <w:tcPr>
            <w:tcW w:w="661" w:type="pct"/>
            <w:noWrap w:val="0"/>
            <w:vAlign w:val="center"/>
          </w:tcPr>
          <w:p w14:paraId="0C6D2F8B">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0.0327</w:t>
            </w:r>
          </w:p>
        </w:tc>
        <w:tc>
          <w:tcPr>
            <w:tcW w:w="627" w:type="pct"/>
            <w:noWrap w:val="0"/>
            <w:vAlign w:val="center"/>
          </w:tcPr>
          <w:p w14:paraId="098B44D2">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w:t>
            </w:r>
          </w:p>
        </w:tc>
        <w:tc>
          <w:tcPr>
            <w:tcW w:w="663" w:type="pct"/>
            <w:noWrap w:val="0"/>
            <w:vAlign w:val="center"/>
          </w:tcPr>
          <w:p w14:paraId="007C4DA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-0.028</w:t>
            </w:r>
          </w:p>
        </w:tc>
        <w:tc>
          <w:tcPr>
            <w:tcW w:w="693" w:type="pct"/>
            <w:noWrap w:val="0"/>
            <w:vAlign w:val="center"/>
          </w:tcPr>
          <w:p w14:paraId="27110373">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-0.056</w:t>
            </w:r>
          </w:p>
        </w:tc>
      </w:tr>
      <w:tr w14:paraId="75FE4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noWrap w:val="0"/>
            <w:vAlign w:val="center"/>
          </w:tcPr>
          <w:p w14:paraId="00FD533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距货运站距离(m)</w:t>
            </w:r>
          </w:p>
        </w:tc>
        <w:tc>
          <w:tcPr>
            <w:tcW w:w="627" w:type="pct"/>
            <w:noWrap w:val="0"/>
            <w:vAlign w:val="center"/>
          </w:tcPr>
          <w:p w14:paraId="14709B7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15%</w:t>
            </w:r>
          </w:p>
        </w:tc>
        <w:tc>
          <w:tcPr>
            <w:tcW w:w="596" w:type="pct"/>
            <w:noWrap w:val="0"/>
            <w:vAlign w:val="center"/>
          </w:tcPr>
          <w:p w14:paraId="5961F34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0.0306</w:t>
            </w:r>
          </w:p>
        </w:tc>
        <w:tc>
          <w:tcPr>
            <w:tcW w:w="661" w:type="pct"/>
            <w:noWrap w:val="0"/>
            <w:vAlign w:val="center"/>
          </w:tcPr>
          <w:p w14:paraId="045B5DE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0.0153</w:t>
            </w:r>
          </w:p>
        </w:tc>
        <w:tc>
          <w:tcPr>
            <w:tcW w:w="627" w:type="pct"/>
            <w:noWrap w:val="0"/>
            <w:vAlign w:val="center"/>
          </w:tcPr>
          <w:p w14:paraId="59295127">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w:t>
            </w:r>
          </w:p>
        </w:tc>
        <w:tc>
          <w:tcPr>
            <w:tcW w:w="663" w:type="pct"/>
            <w:noWrap w:val="0"/>
            <w:vAlign w:val="center"/>
          </w:tcPr>
          <w:p w14:paraId="2D23984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-0.0132</w:t>
            </w:r>
          </w:p>
        </w:tc>
        <w:tc>
          <w:tcPr>
            <w:tcW w:w="693" w:type="pct"/>
            <w:noWrap w:val="0"/>
            <w:vAlign w:val="center"/>
          </w:tcPr>
          <w:p w14:paraId="2CE055C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-0.0263</w:t>
            </w:r>
          </w:p>
        </w:tc>
      </w:tr>
      <w:tr w14:paraId="1B6632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noWrap w:val="0"/>
            <w:vAlign w:val="center"/>
          </w:tcPr>
          <w:p w14:paraId="063E4C1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产业集聚影响度</w:t>
            </w:r>
          </w:p>
        </w:tc>
        <w:tc>
          <w:tcPr>
            <w:tcW w:w="627" w:type="pct"/>
            <w:noWrap w:val="0"/>
            <w:vAlign w:val="center"/>
          </w:tcPr>
          <w:p w14:paraId="33DAD87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20%</w:t>
            </w:r>
          </w:p>
        </w:tc>
        <w:tc>
          <w:tcPr>
            <w:tcW w:w="596" w:type="pct"/>
            <w:noWrap w:val="0"/>
            <w:vAlign w:val="center"/>
          </w:tcPr>
          <w:p w14:paraId="70136E0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0.0408</w:t>
            </w:r>
          </w:p>
        </w:tc>
        <w:tc>
          <w:tcPr>
            <w:tcW w:w="661" w:type="pct"/>
            <w:noWrap w:val="0"/>
            <w:vAlign w:val="center"/>
          </w:tcPr>
          <w:p w14:paraId="005F536B">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p>
        </w:tc>
        <w:tc>
          <w:tcPr>
            <w:tcW w:w="627" w:type="pct"/>
            <w:noWrap w:val="0"/>
            <w:vAlign w:val="center"/>
          </w:tcPr>
          <w:p w14:paraId="3AA0752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w:t>
            </w:r>
          </w:p>
        </w:tc>
        <w:tc>
          <w:tcPr>
            <w:tcW w:w="663" w:type="pct"/>
            <w:noWrap w:val="0"/>
            <w:vAlign w:val="center"/>
          </w:tcPr>
          <w:p w14:paraId="776BA87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p>
        </w:tc>
        <w:tc>
          <w:tcPr>
            <w:tcW w:w="693" w:type="pct"/>
            <w:noWrap w:val="0"/>
            <w:vAlign w:val="center"/>
          </w:tcPr>
          <w:p w14:paraId="0056D124">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-0.035</w:t>
            </w:r>
          </w:p>
        </w:tc>
      </w:tr>
      <w:tr w14:paraId="1D0A96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noWrap w:val="0"/>
            <w:vAlign w:val="center"/>
          </w:tcPr>
          <w:p w14:paraId="76710344">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临路状况</w:t>
            </w:r>
          </w:p>
        </w:tc>
        <w:tc>
          <w:tcPr>
            <w:tcW w:w="627" w:type="pct"/>
            <w:noWrap w:val="0"/>
            <w:vAlign w:val="center"/>
          </w:tcPr>
          <w:p w14:paraId="48145C3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20%</w:t>
            </w:r>
          </w:p>
        </w:tc>
        <w:tc>
          <w:tcPr>
            <w:tcW w:w="596" w:type="pct"/>
            <w:noWrap w:val="0"/>
            <w:vAlign w:val="center"/>
          </w:tcPr>
          <w:p w14:paraId="1ADE344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0.0408</w:t>
            </w:r>
          </w:p>
        </w:tc>
        <w:tc>
          <w:tcPr>
            <w:tcW w:w="661" w:type="pct"/>
            <w:noWrap w:val="0"/>
            <w:vAlign w:val="center"/>
          </w:tcPr>
          <w:p w14:paraId="4F23E894">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0.0204</w:t>
            </w:r>
          </w:p>
        </w:tc>
        <w:tc>
          <w:tcPr>
            <w:tcW w:w="627" w:type="pct"/>
            <w:noWrap w:val="0"/>
            <w:vAlign w:val="center"/>
          </w:tcPr>
          <w:p w14:paraId="146C1E9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w:t>
            </w:r>
          </w:p>
        </w:tc>
        <w:tc>
          <w:tcPr>
            <w:tcW w:w="663" w:type="pct"/>
            <w:noWrap w:val="0"/>
            <w:vAlign w:val="center"/>
          </w:tcPr>
          <w:p w14:paraId="7C09C86B">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-0.0175</w:t>
            </w:r>
          </w:p>
        </w:tc>
        <w:tc>
          <w:tcPr>
            <w:tcW w:w="693" w:type="pct"/>
            <w:noWrap w:val="0"/>
            <w:vAlign w:val="center"/>
          </w:tcPr>
          <w:p w14:paraId="75EB4AA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-0.035</w:t>
            </w:r>
          </w:p>
        </w:tc>
      </w:tr>
      <w:tr w14:paraId="297D6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95" w:hRule="atLeast"/>
          <w:jc w:val="center"/>
        </w:trPr>
        <w:tc>
          <w:tcPr>
            <w:tcW w:w="1130" w:type="pct"/>
            <w:noWrap w:val="0"/>
            <w:vAlign w:val="center"/>
          </w:tcPr>
          <w:p w14:paraId="3F4C7F7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规划用途对地价的影响</w:t>
            </w:r>
          </w:p>
        </w:tc>
        <w:tc>
          <w:tcPr>
            <w:tcW w:w="627" w:type="pct"/>
            <w:noWrap w:val="0"/>
            <w:vAlign w:val="center"/>
          </w:tcPr>
          <w:p w14:paraId="3FC55AF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13%</w:t>
            </w:r>
          </w:p>
        </w:tc>
        <w:tc>
          <w:tcPr>
            <w:tcW w:w="596" w:type="pct"/>
            <w:noWrap w:val="0"/>
            <w:vAlign w:val="center"/>
          </w:tcPr>
          <w:p w14:paraId="7F99E53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0.0265</w:t>
            </w:r>
          </w:p>
        </w:tc>
        <w:tc>
          <w:tcPr>
            <w:tcW w:w="661" w:type="pct"/>
            <w:noWrap w:val="0"/>
            <w:vAlign w:val="center"/>
          </w:tcPr>
          <w:p w14:paraId="4DFB06A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0.0133</w:t>
            </w:r>
          </w:p>
        </w:tc>
        <w:tc>
          <w:tcPr>
            <w:tcW w:w="627" w:type="pct"/>
            <w:noWrap w:val="0"/>
            <w:vAlign w:val="center"/>
          </w:tcPr>
          <w:p w14:paraId="5BEB693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w:t>
            </w:r>
          </w:p>
        </w:tc>
        <w:tc>
          <w:tcPr>
            <w:tcW w:w="663" w:type="pct"/>
            <w:noWrap w:val="0"/>
            <w:vAlign w:val="center"/>
          </w:tcPr>
          <w:p w14:paraId="1D155CB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-0.0114</w:t>
            </w:r>
          </w:p>
        </w:tc>
        <w:tc>
          <w:tcPr>
            <w:tcW w:w="693" w:type="pct"/>
            <w:noWrap w:val="0"/>
            <w:vAlign w:val="center"/>
          </w:tcPr>
          <w:p w14:paraId="19D0AF1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2"/>
                <w:szCs w:val="22"/>
                <w:u w:val="none"/>
                <w:lang w:val="en-US" w:eastAsia="zh-CN" w:bidi="ar"/>
              </w:rPr>
              <w:t>-0.0228</w:t>
            </w:r>
          </w:p>
        </w:tc>
      </w:tr>
    </w:tbl>
    <w:p w14:paraId="30293E06">
      <w:pPr>
        <w:pStyle w:val="5"/>
        <w:bidi w:val="0"/>
        <w:rPr>
          <w:color w:val="auto"/>
          <w:sz w:val="28"/>
          <w:szCs w:val="22"/>
          <w:highlight w:val="none"/>
        </w:rPr>
        <w:sectPr>
          <w:footerReference r:id="rId5" w:type="default"/>
          <w:pgSz w:w="11905" w:h="16838"/>
          <w:pgMar w:top="1157" w:right="1310" w:bottom="1157" w:left="1587" w:header="510"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B8BD2CB">
      <w:pPr>
        <w:pStyle w:val="5"/>
        <w:bidi w:val="0"/>
        <w:rPr>
          <w:rFonts w:hint="eastAsia"/>
          <w:lang w:val="en-US" w:eastAsia="zh-CN"/>
        </w:rPr>
      </w:pPr>
      <w:r>
        <w:rPr>
          <w:rFonts w:hint="eastAsia"/>
          <w:lang w:val="en-US" w:eastAsia="zh-CN"/>
        </w:rPr>
        <w:t>表1-3 巴彦淖尔甘其毛都口岸加工园区二级工矿用地和仓储用地</w:t>
      </w:r>
    </w:p>
    <w:p w14:paraId="74EE09DB">
      <w:pPr>
        <w:pStyle w:val="5"/>
        <w:bidi w:val="0"/>
        <w:rPr>
          <w:rFonts w:hint="eastAsia"/>
          <w:lang w:val="en-US" w:eastAsia="zh-CN"/>
        </w:rPr>
      </w:pPr>
      <w:r>
        <w:rPr>
          <w:rFonts w:hint="eastAsia"/>
          <w:lang w:val="en-US" w:eastAsia="zh-CN"/>
        </w:rPr>
        <w:t>影响因素指标说明表</w:t>
      </w:r>
    </w:p>
    <w:tbl>
      <w:tblPr>
        <w:tblStyle w:val="8"/>
        <w:tblW w:w="91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68"/>
        <w:gridCol w:w="840"/>
        <w:gridCol w:w="1293"/>
        <w:gridCol w:w="1453"/>
        <w:gridCol w:w="1597"/>
        <w:gridCol w:w="1470"/>
        <w:gridCol w:w="877"/>
      </w:tblGrid>
      <w:tr w14:paraId="46FFC7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9" w:hRule="atLeast"/>
          <w:jc w:val="center"/>
        </w:trPr>
        <w:tc>
          <w:tcPr>
            <w:tcW w:w="1668" w:type="dxa"/>
            <w:vMerge w:val="restart"/>
            <w:tcBorders>
              <w:bottom w:val="nil"/>
              <w:tl2br w:val="single" w:color="000000" w:sz="4" w:space="0"/>
            </w:tcBorders>
            <w:noWrap w:val="0"/>
            <w:vAlign w:val="center"/>
          </w:tcPr>
          <w:p w14:paraId="723AC48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 xml:space="preserve">       区域因素</w:t>
            </w:r>
          </w:p>
          <w:p w14:paraId="5BBCF5DD">
            <w:pPr>
              <w:pStyle w:val="10"/>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修正因子</w:t>
            </w:r>
          </w:p>
        </w:tc>
        <w:tc>
          <w:tcPr>
            <w:tcW w:w="840" w:type="dxa"/>
            <w:vMerge w:val="restart"/>
            <w:tcBorders>
              <w:bottom w:val="nil"/>
            </w:tcBorders>
            <w:noWrap w:val="0"/>
            <w:vAlign w:val="center"/>
          </w:tcPr>
          <w:p w14:paraId="2FB18977">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p w14:paraId="0CA8E98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权重</w:t>
            </w:r>
          </w:p>
        </w:tc>
        <w:tc>
          <w:tcPr>
            <w:tcW w:w="6690" w:type="dxa"/>
            <w:gridSpan w:val="5"/>
            <w:noWrap w:val="0"/>
            <w:vAlign w:val="center"/>
          </w:tcPr>
          <w:p w14:paraId="56C5EB2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二级地</w:t>
            </w:r>
          </w:p>
        </w:tc>
      </w:tr>
      <w:tr w14:paraId="31328B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319" w:hRule="atLeast"/>
          <w:jc w:val="center"/>
        </w:trPr>
        <w:tc>
          <w:tcPr>
            <w:tcW w:w="1668" w:type="dxa"/>
            <w:vMerge w:val="continue"/>
            <w:tcBorders>
              <w:top w:val="nil"/>
              <w:tl2br w:val="single" w:color="000000" w:sz="4" w:space="0"/>
            </w:tcBorders>
            <w:noWrap w:val="0"/>
            <w:vAlign w:val="center"/>
          </w:tcPr>
          <w:p w14:paraId="1CB4439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tc>
        <w:tc>
          <w:tcPr>
            <w:tcW w:w="840" w:type="dxa"/>
            <w:vMerge w:val="continue"/>
            <w:tcBorders>
              <w:top w:val="nil"/>
            </w:tcBorders>
            <w:noWrap w:val="0"/>
            <w:vAlign w:val="center"/>
          </w:tcPr>
          <w:p w14:paraId="3949FF0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tc>
        <w:tc>
          <w:tcPr>
            <w:tcW w:w="1293" w:type="dxa"/>
            <w:noWrap w:val="0"/>
            <w:vAlign w:val="center"/>
          </w:tcPr>
          <w:p w14:paraId="0079BF2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优</w:t>
            </w:r>
          </w:p>
        </w:tc>
        <w:tc>
          <w:tcPr>
            <w:tcW w:w="1453" w:type="dxa"/>
            <w:noWrap w:val="0"/>
            <w:vAlign w:val="center"/>
          </w:tcPr>
          <w:p w14:paraId="05E2274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较优</w:t>
            </w:r>
          </w:p>
        </w:tc>
        <w:tc>
          <w:tcPr>
            <w:tcW w:w="1597" w:type="dxa"/>
            <w:noWrap w:val="0"/>
            <w:vAlign w:val="center"/>
          </w:tcPr>
          <w:p w14:paraId="1ED8EC7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一般</w:t>
            </w:r>
          </w:p>
        </w:tc>
        <w:tc>
          <w:tcPr>
            <w:tcW w:w="1470" w:type="dxa"/>
            <w:noWrap w:val="0"/>
            <w:vAlign w:val="center"/>
          </w:tcPr>
          <w:p w14:paraId="1420B51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较劣</w:t>
            </w:r>
          </w:p>
        </w:tc>
        <w:tc>
          <w:tcPr>
            <w:tcW w:w="877" w:type="dxa"/>
            <w:noWrap w:val="0"/>
            <w:vAlign w:val="center"/>
          </w:tcPr>
          <w:p w14:paraId="1174BE2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劣</w:t>
            </w:r>
          </w:p>
        </w:tc>
      </w:tr>
      <w:tr w14:paraId="45DF1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7" w:hRule="atLeast"/>
          <w:jc w:val="center"/>
        </w:trPr>
        <w:tc>
          <w:tcPr>
            <w:tcW w:w="1668" w:type="dxa"/>
            <w:noWrap w:val="0"/>
            <w:vAlign w:val="center"/>
          </w:tcPr>
          <w:p w14:paraId="62577F5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840" w:type="dxa"/>
            <w:noWrap w:val="0"/>
            <w:vAlign w:val="center"/>
          </w:tcPr>
          <w:p w14:paraId="3946E7EB">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c>
          <w:tcPr>
            <w:tcW w:w="1293" w:type="dxa"/>
            <w:noWrap w:val="0"/>
            <w:vAlign w:val="center"/>
          </w:tcPr>
          <w:p w14:paraId="3D72357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混合型主干道</w:t>
            </w:r>
          </w:p>
        </w:tc>
        <w:tc>
          <w:tcPr>
            <w:tcW w:w="1453" w:type="dxa"/>
            <w:noWrap w:val="0"/>
            <w:vAlign w:val="center"/>
          </w:tcPr>
          <w:p w14:paraId="5FA097E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交通型主干道</w:t>
            </w:r>
          </w:p>
        </w:tc>
        <w:tc>
          <w:tcPr>
            <w:tcW w:w="1597" w:type="dxa"/>
            <w:noWrap w:val="0"/>
            <w:vAlign w:val="center"/>
          </w:tcPr>
          <w:p w14:paraId="02882D2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生活型主干道或交通型次干道</w:t>
            </w:r>
          </w:p>
        </w:tc>
        <w:tc>
          <w:tcPr>
            <w:tcW w:w="1470" w:type="dxa"/>
            <w:noWrap w:val="0"/>
            <w:vAlign w:val="center"/>
          </w:tcPr>
          <w:p w14:paraId="6C35C89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生活型次干道</w:t>
            </w:r>
          </w:p>
        </w:tc>
        <w:tc>
          <w:tcPr>
            <w:tcW w:w="877" w:type="dxa"/>
            <w:noWrap w:val="0"/>
            <w:vAlign w:val="center"/>
          </w:tcPr>
          <w:p w14:paraId="4452F36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支路</w:t>
            </w:r>
          </w:p>
        </w:tc>
      </w:tr>
      <w:tr w14:paraId="07801A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7" w:hRule="atLeast"/>
          <w:jc w:val="center"/>
        </w:trPr>
        <w:tc>
          <w:tcPr>
            <w:tcW w:w="1668" w:type="dxa"/>
            <w:noWrap w:val="0"/>
            <w:vAlign w:val="center"/>
          </w:tcPr>
          <w:p w14:paraId="3CA8CE73">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距货运站距离（m）</w:t>
            </w:r>
          </w:p>
        </w:tc>
        <w:tc>
          <w:tcPr>
            <w:tcW w:w="840" w:type="dxa"/>
            <w:noWrap w:val="0"/>
            <w:vAlign w:val="center"/>
          </w:tcPr>
          <w:p w14:paraId="0DB13E02">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293" w:type="dxa"/>
            <w:noWrap w:val="0"/>
            <w:vAlign w:val="center"/>
          </w:tcPr>
          <w:p w14:paraId="76158C57">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≤5000</w:t>
            </w:r>
          </w:p>
        </w:tc>
        <w:tc>
          <w:tcPr>
            <w:tcW w:w="1453" w:type="dxa"/>
            <w:noWrap w:val="0"/>
            <w:vAlign w:val="center"/>
          </w:tcPr>
          <w:p w14:paraId="327CFF3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r>
              <w:rPr>
                <w:rFonts w:hint="eastAsia" w:cs="仿宋"/>
                <w:i w:val="0"/>
                <w:iCs w:val="0"/>
                <w:snapToGrid/>
                <w:color w:val="000000"/>
                <w:kern w:val="0"/>
                <w:sz w:val="21"/>
                <w:szCs w:val="21"/>
                <w:u w:val="none"/>
                <w:lang w:val="en-US" w:eastAsia="zh-CN" w:bidi="ar"/>
              </w:rPr>
              <w:t>50</w:t>
            </w:r>
            <w:r>
              <w:rPr>
                <w:rFonts w:hint="eastAsia" w:ascii="仿宋" w:hAnsi="仿宋" w:eastAsia="仿宋" w:cs="仿宋"/>
                <w:i w:val="0"/>
                <w:iCs w:val="0"/>
                <w:snapToGrid/>
                <w:color w:val="000000"/>
                <w:kern w:val="0"/>
                <w:sz w:val="21"/>
                <w:szCs w:val="21"/>
                <w:u w:val="none"/>
                <w:lang w:val="en-US" w:eastAsia="zh-CN" w:bidi="ar"/>
              </w:rPr>
              <w:t>00-</w:t>
            </w:r>
            <w:r>
              <w:rPr>
                <w:rFonts w:hint="eastAsia" w:cs="仿宋"/>
                <w:i w:val="0"/>
                <w:iCs w:val="0"/>
                <w:snapToGrid/>
                <w:color w:val="000000"/>
                <w:kern w:val="0"/>
                <w:sz w:val="21"/>
                <w:szCs w:val="21"/>
                <w:u w:val="none"/>
                <w:lang w:val="en-US" w:eastAsia="zh-CN" w:bidi="ar"/>
              </w:rPr>
              <w:t>65</w:t>
            </w:r>
            <w:r>
              <w:rPr>
                <w:rFonts w:hint="eastAsia" w:ascii="仿宋" w:hAnsi="仿宋" w:eastAsia="仿宋" w:cs="仿宋"/>
                <w:i w:val="0"/>
                <w:iCs w:val="0"/>
                <w:snapToGrid/>
                <w:color w:val="000000"/>
                <w:kern w:val="0"/>
                <w:sz w:val="21"/>
                <w:szCs w:val="21"/>
                <w:u w:val="none"/>
                <w:lang w:val="en-US" w:eastAsia="zh-CN" w:bidi="ar"/>
              </w:rPr>
              <w:t>00]</w:t>
            </w:r>
          </w:p>
        </w:tc>
        <w:tc>
          <w:tcPr>
            <w:tcW w:w="1597" w:type="dxa"/>
            <w:noWrap w:val="0"/>
            <w:vAlign w:val="center"/>
          </w:tcPr>
          <w:p w14:paraId="58C06819">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(6</w:t>
            </w:r>
            <w:r>
              <w:rPr>
                <w:rFonts w:hint="eastAsia" w:cs="仿宋"/>
                <w:i w:val="0"/>
                <w:iCs w:val="0"/>
                <w:snapToGrid/>
                <w:color w:val="000000"/>
                <w:kern w:val="0"/>
                <w:sz w:val="21"/>
                <w:szCs w:val="21"/>
                <w:u w:val="none"/>
                <w:lang w:val="en-US" w:eastAsia="zh-CN" w:bidi="ar"/>
              </w:rPr>
              <w:t>5</w:t>
            </w:r>
            <w:r>
              <w:rPr>
                <w:rFonts w:hint="eastAsia" w:ascii="仿宋" w:hAnsi="仿宋" w:eastAsia="仿宋" w:cs="仿宋"/>
                <w:i w:val="0"/>
                <w:iCs w:val="0"/>
                <w:snapToGrid/>
                <w:color w:val="000000"/>
                <w:kern w:val="0"/>
                <w:sz w:val="21"/>
                <w:szCs w:val="21"/>
                <w:u w:val="none"/>
                <w:lang w:val="en-US" w:eastAsia="zh-CN" w:bidi="ar"/>
              </w:rPr>
              <w:t>00-</w:t>
            </w:r>
            <w:r>
              <w:rPr>
                <w:rFonts w:hint="eastAsia" w:cs="仿宋"/>
                <w:i w:val="0"/>
                <w:iCs w:val="0"/>
                <w:snapToGrid/>
                <w:color w:val="000000"/>
                <w:kern w:val="0"/>
                <w:sz w:val="21"/>
                <w:szCs w:val="21"/>
                <w:u w:val="none"/>
                <w:lang w:val="en-US" w:eastAsia="zh-CN" w:bidi="ar"/>
              </w:rPr>
              <w:t>80</w:t>
            </w:r>
            <w:r>
              <w:rPr>
                <w:rFonts w:hint="eastAsia" w:ascii="仿宋" w:hAnsi="仿宋" w:eastAsia="仿宋" w:cs="仿宋"/>
                <w:i w:val="0"/>
                <w:iCs w:val="0"/>
                <w:snapToGrid/>
                <w:color w:val="000000"/>
                <w:kern w:val="0"/>
                <w:sz w:val="21"/>
                <w:szCs w:val="21"/>
                <w:u w:val="none"/>
                <w:lang w:val="en-US" w:eastAsia="zh-CN" w:bidi="ar"/>
              </w:rPr>
              <w:t>00]</w:t>
            </w:r>
          </w:p>
        </w:tc>
        <w:tc>
          <w:tcPr>
            <w:tcW w:w="1470" w:type="dxa"/>
            <w:noWrap w:val="0"/>
            <w:vAlign w:val="center"/>
          </w:tcPr>
          <w:p w14:paraId="142246D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w:t>
            </w:r>
            <w:r>
              <w:rPr>
                <w:rFonts w:hint="eastAsia" w:cs="仿宋"/>
                <w:i w:val="0"/>
                <w:iCs w:val="0"/>
                <w:snapToGrid/>
                <w:color w:val="000000"/>
                <w:kern w:val="0"/>
                <w:sz w:val="21"/>
                <w:szCs w:val="21"/>
                <w:u w:val="none"/>
                <w:lang w:val="en-US" w:eastAsia="zh-CN" w:bidi="ar"/>
              </w:rPr>
              <w:t>80</w:t>
            </w:r>
            <w:r>
              <w:rPr>
                <w:rFonts w:hint="eastAsia" w:ascii="仿宋" w:hAnsi="仿宋" w:eastAsia="仿宋" w:cs="仿宋"/>
                <w:i w:val="0"/>
                <w:iCs w:val="0"/>
                <w:snapToGrid/>
                <w:color w:val="000000"/>
                <w:kern w:val="0"/>
                <w:sz w:val="21"/>
                <w:szCs w:val="21"/>
                <w:u w:val="none"/>
                <w:lang w:val="en-US" w:eastAsia="zh-CN" w:bidi="ar"/>
              </w:rPr>
              <w:t>00-</w:t>
            </w:r>
            <w:r>
              <w:rPr>
                <w:rFonts w:hint="eastAsia" w:cs="仿宋"/>
                <w:i w:val="0"/>
                <w:iCs w:val="0"/>
                <w:snapToGrid/>
                <w:color w:val="000000"/>
                <w:kern w:val="0"/>
                <w:sz w:val="21"/>
                <w:szCs w:val="21"/>
                <w:u w:val="none"/>
                <w:lang w:val="en-US" w:eastAsia="zh-CN" w:bidi="ar"/>
              </w:rPr>
              <w:t>950</w:t>
            </w:r>
            <w:r>
              <w:rPr>
                <w:rFonts w:hint="eastAsia" w:ascii="仿宋" w:hAnsi="仿宋" w:eastAsia="仿宋" w:cs="仿宋"/>
                <w:i w:val="0"/>
                <w:iCs w:val="0"/>
                <w:snapToGrid/>
                <w:color w:val="000000"/>
                <w:kern w:val="0"/>
                <w:sz w:val="21"/>
                <w:szCs w:val="21"/>
                <w:u w:val="none"/>
                <w:lang w:val="en-US" w:eastAsia="zh-CN" w:bidi="ar"/>
              </w:rPr>
              <w:t>0]</w:t>
            </w:r>
          </w:p>
        </w:tc>
        <w:tc>
          <w:tcPr>
            <w:tcW w:w="877" w:type="dxa"/>
            <w:noWrap w:val="0"/>
            <w:vAlign w:val="center"/>
          </w:tcPr>
          <w:p w14:paraId="5F3B2B34">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&gt;</w:t>
            </w:r>
            <w:r>
              <w:rPr>
                <w:rFonts w:hint="eastAsia" w:cs="仿宋"/>
                <w:i w:val="0"/>
                <w:iCs w:val="0"/>
                <w:snapToGrid/>
                <w:color w:val="000000"/>
                <w:kern w:val="0"/>
                <w:sz w:val="21"/>
                <w:szCs w:val="21"/>
                <w:u w:val="none"/>
                <w:lang w:val="en-US" w:eastAsia="zh-CN" w:bidi="ar"/>
              </w:rPr>
              <w:t>95</w:t>
            </w:r>
            <w:r>
              <w:rPr>
                <w:rFonts w:hint="eastAsia" w:ascii="仿宋" w:hAnsi="仿宋" w:eastAsia="仿宋" w:cs="仿宋"/>
                <w:i w:val="0"/>
                <w:iCs w:val="0"/>
                <w:snapToGrid/>
                <w:color w:val="000000"/>
                <w:kern w:val="0"/>
                <w:sz w:val="21"/>
                <w:szCs w:val="21"/>
                <w:u w:val="none"/>
                <w:lang w:val="en-US" w:eastAsia="zh-CN" w:bidi="ar"/>
              </w:rPr>
              <w:t>00</w:t>
            </w:r>
          </w:p>
        </w:tc>
      </w:tr>
      <w:tr w14:paraId="0F836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47" w:hRule="atLeast"/>
          <w:jc w:val="center"/>
        </w:trPr>
        <w:tc>
          <w:tcPr>
            <w:tcW w:w="1668" w:type="dxa"/>
            <w:noWrap w:val="0"/>
            <w:vAlign w:val="center"/>
          </w:tcPr>
          <w:p w14:paraId="2519061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840" w:type="dxa"/>
            <w:noWrap w:val="0"/>
            <w:vAlign w:val="center"/>
          </w:tcPr>
          <w:p w14:paraId="28631A6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3" w:type="dxa"/>
            <w:noWrap w:val="0"/>
            <w:vAlign w:val="center"/>
          </w:tcPr>
          <w:p w14:paraId="35D26682">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分布密集的工业园区</w:t>
            </w:r>
          </w:p>
        </w:tc>
        <w:tc>
          <w:tcPr>
            <w:tcW w:w="1453" w:type="dxa"/>
            <w:noWrap w:val="0"/>
            <w:vAlign w:val="center"/>
          </w:tcPr>
          <w:p w14:paraId="7D1B7E18">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p>
        </w:tc>
        <w:tc>
          <w:tcPr>
            <w:tcW w:w="1597" w:type="dxa"/>
            <w:noWrap w:val="0"/>
            <w:vAlign w:val="center"/>
          </w:tcPr>
          <w:p w14:paraId="01AF941C">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零星工业分布区</w:t>
            </w:r>
          </w:p>
        </w:tc>
        <w:tc>
          <w:tcPr>
            <w:tcW w:w="1470" w:type="dxa"/>
            <w:noWrap w:val="0"/>
            <w:vAlign w:val="center"/>
          </w:tcPr>
          <w:p w14:paraId="3F72B52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p>
        </w:tc>
        <w:tc>
          <w:tcPr>
            <w:tcW w:w="877" w:type="dxa"/>
            <w:noWrap w:val="0"/>
            <w:vAlign w:val="center"/>
          </w:tcPr>
          <w:p w14:paraId="7F91272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无工业用地分布区</w:t>
            </w:r>
          </w:p>
        </w:tc>
      </w:tr>
      <w:tr w14:paraId="723AA0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668" w:type="dxa"/>
            <w:noWrap w:val="0"/>
            <w:vAlign w:val="center"/>
          </w:tcPr>
          <w:p w14:paraId="1A68F55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宗地临路状况</w:t>
            </w:r>
          </w:p>
        </w:tc>
        <w:tc>
          <w:tcPr>
            <w:tcW w:w="840" w:type="dxa"/>
            <w:noWrap w:val="0"/>
            <w:vAlign w:val="center"/>
          </w:tcPr>
          <w:p w14:paraId="6F4B33D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3" w:type="dxa"/>
            <w:noWrap w:val="0"/>
            <w:vAlign w:val="center"/>
          </w:tcPr>
          <w:p w14:paraId="384A938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三面临街</w:t>
            </w:r>
          </w:p>
        </w:tc>
        <w:tc>
          <w:tcPr>
            <w:tcW w:w="1453" w:type="dxa"/>
            <w:noWrap w:val="0"/>
            <w:vAlign w:val="center"/>
          </w:tcPr>
          <w:p w14:paraId="1A38033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两面临街</w:t>
            </w:r>
          </w:p>
        </w:tc>
        <w:tc>
          <w:tcPr>
            <w:tcW w:w="1597" w:type="dxa"/>
            <w:noWrap w:val="0"/>
            <w:vAlign w:val="center"/>
          </w:tcPr>
          <w:p w14:paraId="238D23DA">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一面临街</w:t>
            </w:r>
          </w:p>
        </w:tc>
        <w:tc>
          <w:tcPr>
            <w:tcW w:w="1470" w:type="dxa"/>
            <w:noWrap w:val="0"/>
            <w:vAlign w:val="center"/>
          </w:tcPr>
          <w:p w14:paraId="25057055">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不临街，离街较近</w:t>
            </w:r>
          </w:p>
        </w:tc>
        <w:tc>
          <w:tcPr>
            <w:tcW w:w="877" w:type="dxa"/>
            <w:noWrap w:val="0"/>
            <w:vAlign w:val="center"/>
          </w:tcPr>
          <w:p w14:paraId="77BF756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不临街，离街较远</w:t>
            </w:r>
          </w:p>
        </w:tc>
      </w:tr>
      <w:tr w14:paraId="07D36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632" w:hRule="atLeast"/>
          <w:jc w:val="center"/>
        </w:trPr>
        <w:tc>
          <w:tcPr>
            <w:tcW w:w="1668" w:type="dxa"/>
            <w:noWrap w:val="0"/>
            <w:vAlign w:val="center"/>
          </w:tcPr>
          <w:p w14:paraId="59FFEFE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840" w:type="dxa"/>
            <w:noWrap w:val="0"/>
            <w:vAlign w:val="center"/>
          </w:tcPr>
          <w:p w14:paraId="6D5EB7D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1293" w:type="dxa"/>
            <w:noWrap w:val="0"/>
            <w:vAlign w:val="center"/>
          </w:tcPr>
          <w:p w14:paraId="542F00E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工业用地</w:t>
            </w:r>
          </w:p>
        </w:tc>
        <w:tc>
          <w:tcPr>
            <w:tcW w:w="1453" w:type="dxa"/>
            <w:noWrap w:val="0"/>
            <w:vAlign w:val="center"/>
          </w:tcPr>
          <w:p w14:paraId="1FB0B011">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商服用地、文化娱乐用地</w:t>
            </w:r>
          </w:p>
        </w:tc>
        <w:tc>
          <w:tcPr>
            <w:tcW w:w="1597" w:type="dxa"/>
            <w:noWrap w:val="0"/>
            <w:vAlign w:val="center"/>
          </w:tcPr>
          <w:p w14:paraId="6780651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住宅用地、行政办公用地</w:t>
            </w:r>
          </w:p>
        </w:tc>
        <w:tc>
          <w:tcPr>
            <w:tcW w:w="1470" w:type="dxa"/>
            <w:noWrap w:val="0"/>
            <w:vAlign w:val="center"/>
          </w:tcPr>
          <w:p w14:paraId="28F900BD">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市政设施用地、广场用地</w:t>
            </w:r>
          </w:p>
        </w:tc>
        <w:tc>
          <w:tcPr>
            <w:tcW w:w="877" w:type="dxa"/>
            <w:noWrap w:val="0"/>
            <w:vAlign w:val="center"/>
          </w:tcPr>
          <w:p w14:paraId="6254A60F">
            <w:pPr>
              <w:pStyle w:val="10"/>
              <w:widowControl/>
              <w:kinsoku/>
              <w:overflowPunct w:val="0"/>
              <w:topLinePunct/>
              <w:autoSpaceDE w:val="0"/>
              <w:autoSpaceDN w:val="0"/>
              <w:adjustRightInd/>
              <w:snapToGrid/>
              <w:spacing w:beforeLines="0" w:afterLines="0" w:line="240" w:lineRule="auto"/>
              <w:ind w:firstLine="0" w:firstLineChars="0"/>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其他用地</w:t>
            </w:r>
          </w:p>
        </w:tc>
      </w:tr>
    </w:tbl>
    <w:p w14:paraId="6FE5E77A">
      <w:pPr>
        <w:pStyle w:val="5"/>
        <w:bidi w:val="0"/>
        <w:rPr>
          <w:rFonts w:hint="eastAsia"/>
          <w:lang w:val="en-US" w:eastAsia="zh-CN"/>
        </w:rPr>
      </w:pPr>
      <w:r>
        <w:rPr>
          <w:rFonts w:hint="eastAsia"/>
          <w:lang w:val="en-US" w:eastAsia="zh-CN"/>
        </w:rPr>
        <w:t>表1-4 巴彦淖尔甘其毛都口岸加工园区二级工矿用地和仓储用地</w:t>
      </w:r>
    </w:p>
    <w:p w14:paraId="5D542935">
      <w:pPr>
        <w:pStyle w:val="5"/>
        <w:bidi w:val="0"/>
        <w:rPr>
          <w:rFonts w:hint="eastAsia"/>
          <w:lang w:val="en-US" w:eastAsia="zh-CN"/>
        </w:rPr>
      </w:pPr>
      <w:r>
        <w:rPr>
          <w:rFonts w:hint="eastAsia"/>
          <w:lang w:val="en-US" w:eastAsia="zh-CN"/>
        </w:rPr>
        <w:t>基准地价修正系数表</w:t>
      </w:r>
    </w:p>
    <w:tbl>
      <w:tblPr>
        <w:tblStyle w:val="8"/>
        <w:tblW w:w="91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6"/>
        <w:gridCol w:w="936"/>
        <w:gridCol w:w="1297"/>
        <w:gridCol w:w="1390"/>
        <w:gridCol w:w="1145"/>
        <w:gridCol w:w="1093"/>
        <w:gridCol w:w="1162"/>
      </w:tblGrid>
      <w:tr w14:paraId="50A637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vMerge w:val="restart"/>
            <w:tcBorders>
              <w:bottom w:val="nil"/>
              <w:tl2br w:val="single" w:color="000000" w:sz="4" w:space="0"/>
            </w:tcBorders>
            <w:noWrap w:val="0"/>
            <w:vAlign w:val="center"/>
          </w:tcPr>
          <w:p w14:paraId="5C1E113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 xml:space="preserve">       区域因素</w:t>
            </w:r>
          </w:p>
          <w:p w14:paraId="60A37FD1">
            <w:pPr>
              <w:pStyle w:val="10"/>
              <w:widowControl/>
              <w:overflowPunct w:val="0"/>
              <w:topLinePunct/>
              <w:autoSpaceDE w:val="0"/>
              <w:autoSpaceDN w:val="0"/>
              <w:spacing w:line="240" w:lineRule="auto"/>
              <w:ind w:firstLine="0" w:firstLineChars="0"/>
              <w:jc w:val="both"/>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修正因子</w:t>
            </w:r>
          </w:p>
        </w:tc>
        <w:tc>
          <w:tcPr>
            <w:tcW w:w="936" w:type="dxa"/>
            <w:vMerge w:val="restart"/>
            <w:tcBorders>
              <w:bottom w:val="nil"/>
            </w:tcBorders>
            <w:noWrap w:val="0"/>
            <w:vAlign w:val="center"/>
          </w:tcPr>
          <w:p w14:paraId="243CF32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权重</w:t>
            </w:r>
          </w:p>
        </w:tc>
        <w:tc>
          <w:tcPr>
            <w:tcW w:w="6087" w:type="dxa"/>
            <w:gridSpan w:val="5"/>
            <w:noWrap w:val="0"/>
            <w:vAlign w:val="center"/>
          </w:tcPr>
          <w:p w14:paraId="311F96F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二级地</w:t>
            </w:r>
          </w:p>
        </w:tc>
      </w:tr>
      <w:tr w14:paraId="15681E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vMerge w:val="continue"/>
            <w:tcBorders>
              <w:top w:val="nil"/>
              <w:tl2br w:val="single" w:color="000000" w:sz="4" w:space="0"/>
            </w:tcBorders>
            <w:noWrap w:val="0"/>
            <w:vAlign w:val="center"/>
          </w:tcPr>
          <w:p w14:paraId="2654780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tc>
        <w:tc>
          <w:tcPr>
            <w:tcW w:w="936" w:type="dxa"/>
            <w:vMerge w:val="continue"/>
            <w:tcBorders>
              <w:top w:val="nil"/>
            </w:tcBorders>
            <w:noWrap w:val="0"/>
            <w:vAlign w:val="center"/>
          </w:tcPr>
          <w:p w14:paraId="6CFE135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p>
        </w:tc>
        <w:tc>
          <w:tcPr>
            <w:tcW w:w="1297" w:type="dxa"/>
            <w:noWrap w:val="0"/>
            <w:vAlign w:val="center"/>
          </w:tcPr>
          <w:p w14:paraId="3B0B4C6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优</w:t>
            </w:r>
          </w:p>
        </w:tc>
        <w:tc>
          <w:tcPr>
            <w:tcW w:w="1390" w:type="dxa"/>
            <w:noWrap w:val="0"/>
            <w:vAlign w:val="center"/>
          </w:tcPr>
          <w:p w14:paraId="6C9814D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较优</w:t>
            </w:r>
          </w:p>
        </w:tc>
        <w:tc>
          <w:tcPr>
            <w:tcW w:w="1145" w:type="dxa"/>
            <w:noWrap w:val="0"/>
            <w:vAlign w:val="center"/>
          </w:tcPr>
          <w:p w14:paraId="13D5153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一般</w:t>
            </w:r>
          </w:p>
        </w:tc>
        <w:tc>
          <w:tcPr>
            <w:tcW w:w="1093" w:type="dxa"/>
            <w:noWrap w:val="0"/>
            <w:vAlign w:val="center"/>
          </w:tcPr>
          <w:p w14:paraId="063D8FC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较劣</w:t>
            </w:r>
          </w:p>
        </w:tc>
        <w:tc>
          <w:tcPr>
            <w:tcW w:w="1162" w:type="dxa"/>
            <w:noWrap w:val="0"/>
            <w:vAlign w:val="center"/>
          </w:tcPr>
          <w:p w14:paraId="5606FD2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劣</w:t>
            </w:r>
          </w:p>
        </w:tc>
      </w:tr>
      <w:tr w14:paraId="01174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noWrap w:val="0"/>
            <w:vAlign w:val="center"/>
          </w:tcPr>
          <w:p w14:paraId="075746F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道路通达度</w:t>
            </w:r>
          </w:p>
        </w:tc>
        <w:tc>
          <w:tcPr>
            <w:tcW w:w="936" w:type="dxa"/>
            <w:noWrap w:val="0"/>
            <w:vAlign w:val="center"/>
          </w:tcPr>
          <w:p w14:paraId="057AD75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32%</w:t>
            </w:r>
          </w:p>
        </w:tc>
        <w:tc>
          <w:tcPr>
            <w:tcW w:w="1297" w:type="dxa"/>
            <w:noWrap w:val="0"/>
            <w:vAlign w:val="center"/>
          </w:tcPr>
          <w:p w14:paraId="026456E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0.0566</w:t>
            </w:r>
          </w:p>
        </w:tc>
        <w:tc>
          <w:tcPr>
            <w:tcW w:w="1390" w:type="dxa"/>
            <w:noWrap w:val="0"/>
            <w:vAlign w:val="center"/>
          </w:tcPr>
          <w:p w14:paraId="6C7F481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0.0283</w:t>
            </w:r>
          </w:p>
        </w:tc>
        <w:tc>
          <w:tcPr>
            <w:tcW w:w="1145" w:type="dxa"/>
            <w:noWrap w:val="0"/>
            <w:vAlign w:val="center"/>
          </w:tcPr>
          <w:p w14:paraId="49027F2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611EA41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-0.0316</w:t>
            </w:r>
          </w:p>
        </w:tc>
        <w:tc>
          <w:tcPr>
            <w:tcW w:w="1162" w:type="dxa"/>
            <w:noWrap w:val="0"/>
            <w:vAlign w:val="center"/>
          </w:tcPr>
          <w:p w14:paraId="0F510CC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-0.0631</w:t>
            </w:r>
          </w:p>
        </w:tc>
      </w:tr>
      <w:tr w14:paraId="20627E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noWrap w:val="0"/>
            <w:vAlign w:val="center"/>
          </w:tcPr>
          <w:p w14:paraId="2C9B0F5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距货运站距离(m)</w:t>
            </w:r>
          </w:p>
        </w:tc>
        <w:tc>
          <w:tcPr>
            <w:tcW w:w="936" w:type="dxa"/>
            <w:noWrap w:val="0"/>
            <w:vAlign w:val="center"/>
          </w:tcPr>
          <w:p w14:paraId="4D1593B5">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15%</w:t>
            </w:r>
          </w:p>
        </w:tc>
        <w:tc>
          <w:tcPr>
            <w:tcW w:w="1297" w:type="dxa"/>
            <w:noWrap w:val="0"/>
            <w:vAlign w:val="center"/>
          </w:tcPr>
          <w:p w14:paraId="437341F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0.0265</w:t>
            </w:r>
          </w:p>
        </w:tc>
        <w:tc>
          <w:tcPr>
            <w:tcW w:w="1390" w:type="dxa"/>
            <w:noWrap w:val="0"/>
            <w:vAlign w:val="center"/>
          </w:tcPr>
          <w:p w14:paraId="59D00A2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0.0133</w:t>
            </w:r>
          </w:p>
        </w:tc>
        <w:tc>
          <w:tcPr>
            <w:tcW w:w="1145" w:type="dxa"/>
            <w:noWrap w:val="0"/>
            <w:vAlign w:val="center"/>
          </w:tcPr>
          <w:p w14:paraId="08CCDF16">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5A09DB5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-0.0148</w:t>
            </w:r>
          </w:p>
        </w:tc>
        <w:tc>
          <w:tcPr>
            <w:tcW w:w="1162" w:type="dxa"/>
            <w:noWrap w:val="0"/>
            <w:vAlign w:val="center"/>
          </w:tcPr>
          <w:p w14:paraId="0C3FD27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-0.0296</w:t>
            </w:r>
          </w:p>
        </w:tc>
      </w:tr>
      <w:tr w14:paraId="62DA2C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noWrap w:val="0"/>
            <w:vAlign w:val="center"/>
          </w:tcPr>
          <w:p w14:paraId="048B86E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产业集聚影响度</w:t>
            </w:r>
          </w:p>
        </w:tc>
        <w:tc>
          <w:tcPr>
            <w:tcW w:w="936" w:type="dxa"/>
            <w:noWrap w:val="0"/>
            <w:vAlign w:val="center"/>
          </w:tcPr>
          <w:p w14:paraId="5DA2FBCC">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7" w:type="dxa"/>
            <w:noWrap w:val="0"/>
            <w:vAlign w:val="center"/>
          </w:tcPr>
          <w:p w14:paraId="5FCD8F4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0.0354</w:t>
            </w:r>
          </w:p>
        </w:tc>
        <w:tc>
          <w:tcPr>
            <w:tcW w:w="1390" w:type="dxa"/>
            <w:noWrap w:val="0"/>
            <w:vAlign w:val="center"/>
          </w:tcPr>
          <w:p w14:paraId="52E2349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p>
        </w:tc>
        <w:tc>
          <w:tcPr>
            <w:tcW w:w="1145" w:type="dxa"/>
            <w:noWrap w:val="0"/>
            <w:vAlign w:val="center"/>
          </w:tcPr>
          <w:p w14:paraId="09FF4F6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2B459C0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p>
        </w:tc>
        <w:tc>
          <w:tcPr>
            <w:tcW w:w="1162" w:type="dxa"/>
            <w:noWrap w:val="0"/>
            <w:vAlign w:val="center"/>
          </w:tcPr>
          <w:p w14:paraId="2D7903E3">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-0.0395</w:t>
            </w:r>
          </w:p>
        </w:tc>
      </w:tr>
      <w:tr w14:paraId="35B29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noWrap w:val="0"/>
            <w:vAlign w:val="center"/>
          </w:tcPr>
          <w:p w14:paraId="2312D747">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临路状况</w:t>
            </w:r>
          </w:p>
        </w:tc>
        <w:tc>
          <w:tcPr>
            <w:tcW w:w="936" w:type="dxa"/>
            <w:noWrap w:val="0"/>
            <w:vAlign w:val="center"/>
          </w:tcPr>
          <w:p w14:paraId="3E3A1EC3">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20%</w:t>
            </w:r>
          </w:p>
        </w:tc>
        <w:tc>
          <w:tcPr>
            <w:tcW w:w="1297" w:type="dxa"/>
            <w:noWrap w:val="0"/>
            <w:vAlign w:val="center"/>
          </w:tcPr>
          <w:p w14:paraId="5070E3BD">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0.0354</w:t>
            </w:r>
          </w:p>
        </w:tc>
        <w:tc>
          <w:tcPr>
            <w:tcW w:w="1390" w:type="dxa"/>
            <w:noWrap w:val="0"/>
            <w:vAlign w:val="center"/>
          </w:tcPr>
          <w:p w14:paraId="677E2071">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0.0177</w:t>
            </w:r>
          </w:p>
        </w:tc>
        <w:tc>
          <w:tcPr>
            <w:tcW w:w="1145" w:type="dxa"/>
            <w:noWrap w:val="0"/>
            <w:vAlign w:val="center"/>
          </w:tcPr>
          <w:p w14:paraId="7CF17D8A">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5936E42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-0.0198</w:t>
            </w:r>
          </w:p>
        </w:tc>
        <w:tc>
          <w:tcPr>
            <w:tcW w:w="1162" w:type="dxa"/>
            <w:noWrap w:val="0"/>
            <w:vAlign w:val="center"/>
          </w:tcPr>
          <w:p w14:paraId="5322C09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-0.0395</w:t>
            </w:r>
          </w:p>
        </w:tc>
      </w:tr>
      <w:tr w14:paraId="46064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556" w:hRule="atLeast"/>
          <w:jc w:val="center"/>
        </w:trPr>
        <w:tc>
          <w:tcPr>
            <w:tcW w:w="2116" w:type="dxa"/>
            <w:noWrap w:val="0"/>
            <w:vAlign w:val="center"/>
          </w:tcPr>
          <w:p w14:paraId="7A3FAA3E">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规划用途对地价的影响</w:t>
            </w:r>
          </w:p>
        </w:tc>
        <w:tc>
          <w:tcPr>
            <w:tcW w:w="936" w:type="dxa"/>
            <w:noWrap w:val="0"/>
            <w:vAlign w:val="center"/>
          </w:tcPr>
          <w:p w14:paraId="424B3B9B">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13%</w:t>
            </w:r>
          </w:p>
        </w:tc>
        <w:tc>
          <w:tcPr>
            <w:tcW w:w="1297" w:type="dxa"/>
            <w:noWrap w:val="0"/>
            <w:vAlign w:val="center"/>
          </w:tcPr>
          <w:p w14:paraId="3AF8E330">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0.023</w:t>
            </w:r>
          </w:p>
        </w:tc>
        <w:tc>
          <w:tcPr>
            <w:tcW w:w="1390" w:type="dxa"/>
            <w:noWrap w:val="0"/>
            <w:vAlign w:val="center"/>
          </w:tcPr>
          <w:p w14:paraId="27838586">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0.0115</w:t>
            </w:r>
          </w:p>
        </w:tc>
        <w:tc>
          <w:tcPr>
            <w:tcW w:w="1145" w:type="dxa"/>
            <w:noWrap w:val="0"/>
            <w:vAlign w:val="center"/>
          </w:tcPr>
          <w:p w14:paraId="2E4E16EF">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w:t>
            </w:r>
          </w:p>
        </w:tc>
        <w:tc>
          <w:tcPr>
            <w:tcW w:w="1093" w:type="dxa"/>
            <w:noWrap w:val="0"/>
            <w:vAlign w:val="center"/>
          </w:tcPr>
          <w:p w14:paraId="1CA395D9">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-0.0128</w:t>
            </w:r>
          </w:p>
        </w:tc>
        <w:tc>
          <w:tcPr>
            <w:tcW w:w="1162" w:type="dxa"/>
            <w:noWrap w:val="0"/>
            <w:vAlign w:val="center"/>
          </w:tcPr>
          <w:p w14:paraId="2AF3CFB8">
            <w:pPr>
              <w:pStyle w:val="10"/>
              <w:widowControl/>
              <w:kinsoku/>
              <w:overflowPunct w:val="0"/>
              <w:topLinePunct/>
              <w:autoSpaceDE w:val="0"/>
              <w:autoSpaceDN w:val="0"/>
              <w:adjustRightInd/>
              <w:snapToGrid/>
              <w:spacing w:beforeLines="0" w:afterLines="0" w:line="240" w:lineRule="auto"/>
              <w:ind w:firstLine="0" w:firstLineChars="0"/>
              <w:jc w:val="center"/>
              <w:textAlignment w:val="center"/>
              <w:rPr>
                <w:rFonts w:hint="eastAsia" w:ascii="仿宋" w:hAnsi="仿宋" w:eastAsia="仿宋" w:cs="仿宋"/>
                <w:i w:val="0"/>
                <w:iCs w:val="0"/>
                <w:snapToGrid/>
                <w:color w:val="000000"/>
                <w:kern w:val="0"/>
                <w:sz w:val="22"/>
                <w:szCs w:val="22"/>
                <w:u w:val="none"/>
                <w:lang w:val="en-US" w:eastAsia="zh-CN" w:bidi="ar"/>
              </w:rPr>
            </w:pPr>
            <w:r>
              <w:rPr>
                <w:rFonts w:hint="eastAsia" w:ascii="仿宋" w:hAnsi="仿宋" w:eastAsia="仿宋" w:cs="仿宋"/>
                <w:i w:val="0"/>
                <w:iCs w:val="0"/>
                <w:snapToGrid/>
                <w:color w:val="000000"/>
                <w:kern w:val="0"/>
                <w:sz w:val="21"/>
                <w:szCs w:val="21"/>
                <w:u w:val="none"/>
                <w:lang w:val="en-US" w:eastAsia="zh-CN" w:bidi="ar"/>
              </w:rPr>
              <w:t>-0.0256</w:t>
            </w:r>
          </w:p>
        </w:tc>
      </w:tr>
    </w:tbl>
    <w:p w14:paraId="058F3761">
      <w:pPr>
        <w:spacing w:before="100" w:beforeAutospacing="1" w:after="100" w:afterAutospacing="1"/>
        <w:outlineLvl w:val="1"/>
        <w:rPr>
          <w:rFonts w:eastAsia="仿宋"/>
          <w:b/>
          <w:bCs/>
          <w:sz w:val="30"/>
          <w:szCs w:val="30"/>
        </w:rPr>
        <w:sectPr>
          <w:footerReference r:id="rId6" w:type="default"/>
          <w:pgSz w:w="11907" w:h="16840"/>
          <w:pgMar w:top="1440" w:right="1486" w:bottom="1440" w:left="1588" w:header="737" w:footer="992" w:gutter="0"/>
          <w:pgNumType w:fmt="decimal"/>
          <w:cols w:space="720" w:num="1"/>
          <w:docGrid w:linePitch="312" w:charSpace="0"/>
        </w:sectPr>
      </w:pPr>
    </w:p>
    <w:p w14:paraId="27B9BD9F">
      <w:pPr>
        <w:pStyle w:val="3"/>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43" w:firstLineChars="200"/>
        <w:textAlignment w:val="auto"/>
        <w:rPr>
          <w:rFonts w:hint="default" w:ascii="Times New Roman" w:hAnsi="Times New Roman" w:cs="Times New Roman"/>
          <w:color w:val="000000"/>
          <w:highlight w:val="none"/>
          <w:lang w:val="en-US" w:eastAsia="zh-CN"/>
        </w:rPr>
      </w:pPr>
      <w:bookmarkStart w:id="10" w:name="_Toc5537"/>
      <w:bookmarkStart w:id="11" w:name="_Toc28713"/>
      <w:bookmarkStart w:id="12" w:name="_Toc29631"/>
      <w:bookmarkStart w:id="13" w:name="_Toc1747"/>
      <w:r>
        <w:rPr>
          <w:rFonts w:hint="default" w:ascii="Times New Roman" w:hAnsi="Times New Roman" w:cs="Times New Roman"/>
          <w:color w:val="000000"/>
          <w:highlight w:val="none"/>
          <w:lang w:val="en-US" w:eastAsia="zh-CN"/>
        </w:rPr>
        <w:t>二、其他修正体系</w:t>
      </w:r>
      <w:bookmarkEnd w:id="8"/>
      <w:bookmarkEnd w:id="9"/>
      <w:bookmarkEnd w:id="10"/>
      <w:bookmarkEnd w:id="11"/>
      <w:bookmarkEnd w:id="12"/>
      <w:bookmarkEnd w:id="13"/>
    </w:p>
    <w:p w14:paraId="51D6A0A8">
      <w:pPr>
        <w:pStyle w:val="4"/>
        <w:keepNext w:val="0"/>
        <w:keepLines w:val="0"/>
        <w:pageBreakBefore w:val="0"/>
        <w:widowControl w:val="0"/>
        <w:kinsoku/>
        <w:wordWrap/>
        <w:overflowPunct w:val="0"/>
        <w:topLinePunct w:val="0"/>
        <w:autoSpaceDE/>
        <w:autoSpaceDN/>
        <w:bidi w:val="0"/>
        <w:adjustRightInd w:val="0"/>
        <w:snapToGrid w:val="0"/>
        <w:spacing w:before="0" w:after="0" w:line="600" w:lineRule="exact"/>
        <w:ind w:firstLine="602" w:firstLineChars="200"/>
        <w:textAlignment w:val="auto"/>
        <w:rPr>
          <w:rFonts w:hint="eastAsia" w:ascii="Times New Roman" w:hAnsi="Times New Roman" w:eastAsia="仿宋" w:cs="Times New Roman"/>
          <w:color w:val="000000"/>
          <w:sz w:val="30"/>
          <w:szCs w:val="30"/>
          <w:lang w:val="en-US" w:eastAsia="zh-CN"/>
        </w:rPr>
      </w:pPr>
      <w:bookmarkStart w:id="14" w:name="_Toc25702"/>
      <w:bookmarkStart w:id="15" w:name="_Toc1927"/>
      <w:bookmarkStart w:id="16" w:name="_Toc14923"/>
      <w:bookmarkStart w:id="17" w:name="_Toc16478"/>
      <w:bookmarkStart w:id="18" w:name="_Toc19787"/>
      <w:r>
        <w:rPr>
          <w:rFonts w:hint="eastAsia" w:ascii="Times New Roman" w:hAnsi="Times New Roman" w:eastAsia="仿宋" w:cs="Times New Roman"/>
          <w:color w:val="000000"/>
          <w:sz w:val="30"/>
          <w:szCs w:val="30"/>
          <w:lang w:val="en-US" w:eastAsia="zh-CN"/>
        </w:rPr>
        <w:t>（一）</w:t>
      </w:r>
      <w:bookmarkEnd w:id="14"/>
      <w:bookmarkEnd w:id="15"/>
      <w:bookmarkEnd w:id="16"/>
      <w:bookmarkStart w:id="19" w:name="_Toc27697"/>
      <w:bookmarkStart w:id="20" w:name="_Toc5106"/>
      <w:r>
        <w:rPr>
          <w:rFonts w:hint="eastAsia" w:ascii="Times New Roman" w:hAnsi="Times New Roman" w:eastAsia="仿宋" w:cs="Times New Roman"/>
          <w:color w:val="000000"/>
          <w:sz w:val="30"/>
          <w:szCs w:val="30"/>
          <w:lang w:val="en-US" w:eastAsia="zh-CN"/>
        </w:rPr>
        <w:t>交易期日修正</w:t>
      </w:r>
      <w:bookmarkEnd w:id="17"/>
      <w:bookmarkEnd w:id="18"/>
    </w:p>
    <w:p w14:paraId="53894222">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巴彦淖尔甘其毛都口岸加工园区地价的评估时日修正，将来主要按照地价指数来进行时间修正。即：</w:t>
      </w:r>
    </w:p>
    <w:p w14:paraId="597A9B8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P0 ＝P×Kq                                  </w:t>
      </w:r>
    </w:p>
    <w:p w14:paraId="26D8453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式中：  </w:t>
      </w:r>
    </w:p>
    <w:p w14:paraId="558D14D0">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P0-时日修正后宗地单位面积土地价格（元/平方米）；</w:t>
      </w:r>
    </w:p>
    <w:p w14:paraId="18C1311D">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 xml:space="preserve">宗地所在级别的基准地价（元/平方米）； </w:t>
      </w:r>
    </w:p>
    <w:p w14:paraId="01111C54">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Kq-土地交易期日修正系数。</w:t>
      </w:r>
    </w:p>
    <w:p w14:paraId="0C1EE556">
      <w:pPr>
        <w:keepNext w:val="0"/>
        <w:keepLines w:val="0"/>
        <w:pageBreakBefore w:val="0"/>
        <w:widowControl w:val="0"/>
        <w:kinsoku/>
        <w:wordWrap/>
        <w:overflowPunct w:val="0"/>
        <w:topLinePunct w:val="0"/>
        <w:autoSpaceDE/>
        <w:autoSpaceDN/>
        <w:bidi w:val="0"/>
        <w:adjustRightInd w:val="0"/>
        <w:snapToGrid w:val="0"/>
        <w:spacing w:line="600" w:lineRule="exact"/>
        <w:ind w:firstLine="560" w:firstLineChars="200"/>
        <w:textAlignment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基准地价是一个特定时点的价格，待估宗地的评估基准日与基准地价的基准日如不相同，则需根据地价变化程度进行期日修正。期日一般采用地价指数进行修正，期日修正系数按上述公式计算。</w:t>
      </w:r>
    </w:p>
    <w:p w14:paraId="6EDA48E4">
      <w:pPr>
        <w:pStyle w:val="4"/>
        <w:keepNext w:val="0"/>
        <w:keepLines w:val="0"/>
        <w:overflowPunct w:val="0"/>
        <w:bidi w:val="0"/>
        <w:adjustRightInd w:val="0"/>
        <w:snapToGrid w:val="0"/>
        <w:spacing w:before="0" w:after="0" w:line="600" w:lineRule="exact"/>
        <w:ind w:firstLine="602" w:firstLineChars="200"/>
        <w:rPr>
          <w:rFonts w:hint="eastAsia" w:ascii="Times New Roman" w:hAnsi="Times New Roman" w:eastAsia="仿宋" w:cs="Times New Roman"/>
          <w:color w:val="000000"/>
          <w:sz w:val="30"/>
          <w:szCs w:val="30"/>
          <w:lang w:val="en-US" w:eastAsia="zh-CN"/>
        </w:rPr>
      </w:pPr>
      <w:bookmarkStart w:id="21" w:name="_Toc1223"/>
      <w:bookmarkStart w:id="22" w:name="_Toc23002"/>
      <w:r>
        <w:rPr>
          <w:rFonts w:hint="eastAsia" w:ascii="Times New Roman" w:hAnsi="Times New Roman" w:eastAsia="仿宋" w:cs="Times New Roman"/>
          <w:color w:val="000000"/>
          <w:sz w:val="30"/>
          <w:szCs w:val="30"/>
          <w:lang w:val="en-US" w:eastAsia="zh-CN"/>
        </w:rPr>
        <w:t>（二）</w:t>
      </w:r>
      <w:bookmarkEnd w:id="19"/>
      <w:bookmarkEnd w:id="20"/>
      <w:r>
        <w:rPr>
          <w:rFonts w:hint="eastAsia" w:ascii="Times New Roman" w:hAnsi="Times New Roman" w:eastAsia="仿宋" w:cs="Times New Roman"/>
          <w:color w:val="000000"/>
          <w:sz w:val="30"/>
          <w:szCs w:val="30"/>
          <w:lang w:val="en-US" w:eastAsia="zh-CN"/>
        </w:rPr>
        <w:t>土地使用年期修正</w:t>
      </w:r>
      <w:bookmarkEnd w:id="21"/>
      <w:bookmarkEnd w:id="22"/>
    </w:p>
    <w:p w14:paraId="54D69BFD">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巴彦淖尔甘其毛都口岸加工园区地价土地使用年期修正公式为：</w:t>
      </w:r>
    </w:p>
    <w:p w14:paraId="640FFC53">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 xml:space="preserve">P0 ＝P×KS                                 </w:t>
      </w:r>
    </w:p>
    <w:p w14:paraId="2CFE87CD">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式中：</w:t>
      </w:r>
    </w:p>
    <w:p w14:paraId="541ADD5D">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 xml:space="preserve">P0-土地使用年期修正后宗地单位面积土地价格（元/平方米）； </w:t>
      </w:r>
    </w:p>
    <w:p w14:paraId="35AA0A4F">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P-宗地所在级别的基准地价（元/平方米）；</w:t>
      </w:r>
    </w:p>
    <w:p w14:paraId="3BCB3A9E">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KS-土地使用年期修正系数。</w:t>
      </w:r>
    </w:p>
    <w:p w14:paraId="07724AFF">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有限年期使用权价格应该修正到法定最高年期地价，巴彦淖尔甘其毛都口岸加工园区各类土地使用权可使用年期地价修正系数如下表。</w:t>
      </w:r>
    </w:p>
    <w:p w14:paraId="3592B28C">
      <w:pPr>
        <w:pStyle w:val="5"/>
        <w:bidi w:val="0"/>
      </w:pPr>
      <w:r>
        <w:rPr>
          <w:rFonts w:ascii="仿宋" w:hAnsi="仿宋" w:eastAsia="仿宋" w:cs="仿宋"/>
          <w:b/>
          <w:bCs/>
          <w:spacing w:val="-3"/>
          <w:szCs w:val="24"/>
        </w:rPr>
        <w:br w:type="page"/>
      </w:r>
      <w:r>
        <w:t>表</w:t>
      </w:r>
      <w:r>
        <w:rPr>
          <w:rFonts w:hint="eastAsia"/>
          <w:lang w:val="en-US" w:eastAsia="zh-CN"/>
        </w:rPr>
        <w:t>1-5 工矿用地、仓储</w:t>
      </w:r>
      <w:r>
        <w:t>用地使用年期修正系数表</w:t>
      </w:r>
    </w:p>
    <w:tbl>
      <w:tblPr>
        <w:tblStyle w:val="8"/>
        <w:tblW w:w="497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9"/>
        <w:gridCol w:w="847"/>
        <w:gridCol w:w="847"/>
        <w:gridCol w:w="848"/>
        <w:gridCol w:w="848"/>
        <w:gridCol w:w="848"/>
        <w:gridCol w:w="848"/>
        <w:gridCol w:w="848"/>
        <w:gridCol w:w="848"/>
      </w:tblGrid>
      <w:tr w14:paraId="5B47A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2A81E33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EB0D53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55730A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C4796C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2EB543E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6FC796C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5</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5709B897">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6</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AA8FF1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7</w:t>
            </w:r>
          </w:p>
        </w:tc>
        <w:tc>
          <w:tcPr>
            <w:tcW w:w="500" w:type="pct"/>
            <w:tcBorders>
              <w:top w:val="single" w:color="000000" w:sz="4" w:space="0"/>
              <w:left w:val="single" w:color="000000" w:sz="4" w:space="0"/>
              <w:bottom w:val="single" w:color="000000" w:sz="4" w:space="0"/>
              <w:right w:val="single" w:color="000000" w:sz="4" w:space="0"/>
            </w:tcBorders>
            <w:noWrap w:val="0"/>
            <w:vAlign w:val="center"/>
          </w:tcPr>
          <w:p w14:paraId="491931D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8</w:t>
            </w:r>
          </w:p>
        </w:tc>
      </w:tr>
      <w:tr w14:paraId="54EB1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5F9C74F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0B1C46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0.0537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540D1D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0.1047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FDB974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0.1532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F37ADF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0.1993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809A50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0.2432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2FB18B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0.2848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AB9697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0.3244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E519E7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0.3621</w:t>
            </w:r>
          </w:p>
        </w:tc>
      </w:tr>
      <w:tr w14:paraId="4BEB7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0D1B734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09E20F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671815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10</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69DE4E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080959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F0CEDA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E8985E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A41EBB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48A51D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16</w:t>
            </w:r>
          </w:p>
        </w:tc>
      </w:tr>
      <w:tr w14:paraId="571C9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34D8635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BA15E4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0.3979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81CE1E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0.4319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12DFC2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0.4642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3C63B7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0.495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DA7FBC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0.5242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91560D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0.552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090B4C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0.5784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062A04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0.6035</w:t>
            </w:r>
          </w:p>
        </w:tc>
      </w:tr>
      <w:tr w14:paraId="6362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5BA8B21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F61E00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2744A3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4605E8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67E2D5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20</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8F10D3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12D86D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41F3DB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99E3A9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24</w:t>
            </w:r>
          </w:p>
        </w:tc>
      </w:tr>
      <w:tr w14:paraId="1A629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79DEB5C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A60C7C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0.6273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9249AB7">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0.65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A20BBE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0.6716</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C08D15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0.6921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AFB727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0.7115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664969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0.7301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973F04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0.7477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98E1A8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0.7644</w:t>
            </w:r>
          </w:p>
        </w:tc>
      </w:tr>
      <w:tr w14:paraId="0B29C2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3D030C0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FB9669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2502E7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26</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A42AA9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A7D373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042FFC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29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8184DC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30</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D24806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165EBF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32</w:t>
            </w:r>
          </w:p>
        </w:tc>
      </w:tr>
      <w:tr w14:paraId="70F9B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13B9BC1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1309ED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0.7803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311F76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0.7954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77B01C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0.8098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4BA9D9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0.8234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CF75DB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0.8364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D7B22E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0.8488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F10D53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0.8605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12D2FE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0.8716</w:t>
            </w:r>
          </w:p>
        </w:tc>
      </w:tr>
      <w:tr w14:paraId="25F0B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216B08C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EEFA35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8E17C2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9FC7287">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8D7F00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36</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6EAD3C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99EA1B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38</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E19297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8BF9C1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40</w:t>
            </w:r>
          </w:p>
        </w:tc>
      </w:tr>
      <w:tr w14:paraId="70B1E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1309B67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E7CB51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0.8822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580E0D9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0.8923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804FAB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0.9019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24B7E7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0.911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15E849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0.9197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EEEA8B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0.9279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DC769B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0.9357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93F961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0.9431</w:t>
            </w:r>
          </w:p>
        </w:tc>
      </w:tr>
      <w:tr w14:paraId="1890D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0437918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AE742E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C6BC54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E34676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47F211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6D35FD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93C21E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46</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35C33B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47</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2AB263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48</w:t>
            </w:r>
          </w:p>
        </w:tc>
      </w:tr>
      <w:tr w14:paraId="7DC14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185B735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1DD97EA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0.9502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409FEA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0.9569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A1833A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0.9633</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BA0D1B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0.9694</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D6F0F8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0.9752</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1225C1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0.9806</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6E6973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0.9859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B12EE0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0.9908</w:t>
            </w:r>
          </w:p>
        </w:tc>
      </w:tr>
      <w:tr w14:paraId="27FDF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728DB76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使用年期（年）</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64DC2CF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49</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CDE77C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50</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76EDC0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C0061A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1E0567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101160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12F151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0A5F03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r>
      <w:tr w14:paraId="2DB71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cantSplit/>
          <w:trHeight w:val="433" w:hRule="atLeast"/>
          <w:jc w:val="center"/>
        </w:trPr>
        <w:tc>
          <w:tcPr>
            <w:tcW w:w="997" w:type="pct"/>
            <w:tcBorders>
              <w:top w:val="single" w:color="000000" w:sz="4" w:space="0"/>
              <w:left w:val="single" w:color="000000" w:sz="4" w:space="0"/>
              <w:bottom w:val="single" w:color="000000" w:sz="4" w:space="0"/>
              <w:right w:val="single" w:color="000000" w:sz="4" w:space="0"/>
            </w:tcBorders>
            <w:noWrap w:val="0"/>
            <w:vAlign w:val="center"/>
          </w:tcPr>
          <w:p w14:paraId="69E19E9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FA56E6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0.9955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7551431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EEFFA8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CDB61B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7BE5A35">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84E3AD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488806B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c>
          <w:tcPr>
            <w:tcW w:w="900" w:type="dxa"/>
            <w:tcBorders>
              <w:top w:val="single" w:color="000000" w:sz="4" w:space="0"/>
              <w:left w:val="single" w:color="000000" w:sz="4" w:space="0"/>
              <w:bottom w:val="single" w:color="000000" w:sz="4" w:space="0"/>
              <w:right w:val="single" w:color="000000" w:sz="4" w:space="0"/>
            </w:tcBorders>
            <w:noWrap w:val="0"/>
            <w:vAlign w:val="bottom"/>
          </w:tcPr>
          <w:p w14:paraId="2CE87A5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p>
        </w:tc>
      </w:tr>
    </w:tbl>
    <w:p w14:paraId="208C9694">
      <w:pPr>
        <w:pStyle w:val="4"/>
        <w:keepNext w:val="0"/>
        <w:keepLines w:val="0"/>
        <w:overflowPunct w:val="0"/>
        <w:bidi w:val="0"/>
        <w:adjustRightInd w:val="0"/>
        <w:snapToGrid w:val="0"/>
        <w:spacing w:before="0" w:after="0" w:line="600" w:lineRule="exact"/>
        <w:ind w:firstLine="602" w:firstLineChars="200"/>
        <w:rPr>
          <w:rFonts w:hint="eastAsia" w:ascii="Times New Roman" w:hAnsi="Times New Roman" w:eastAsia="仿宋" w:cs="Times New Roman"/>
          <w:color w:val="000000"/>
          <w:sz w:val="30"/>
          <w:szCs w:val="30"/>
          <w:lang w:val="en-US" w:eastAsia="en-US"/>
        </w:rPr>
      </w:pPr>
      <w:bookmarkStart w:id="23" w:name="_Toc22373"/>
      <w:bookmarkStart w:id="24" w:name="_Toc14477"/>
      <w:bookmarkStart w:id="25" w:name="_Toc27577"/>
      <w:bookmarkStart w:id="26" w:name="_Toc7189"/>
      <w:r>
        <w:rPr>
          <w:rFonts w:hint="eastAsia" w:ascii="Times New Roman" w:hAnsi="Times New Roman" w:eastAsia="仿宋" w:cs="Times New Roman"/>
          <w:color w:val="000000"/>
          <w:sz w:val="30"/>
          <w:szCs w:val="30"/>
          <w:lang w:val="en-US" w:eastAsia="zh-CN"/>
        </w:rPr>
        <w:t>（三）</w:t>
      </w:r>
      <w:bookmarkEnd w:id="23"/>
      <w:bookmarkEnd w:id="24"/>
      <w:bookmarkStart w:id="27" w:name="_Toc8032"/>
      <w:bookmarkStart w:id="28" w:name="_Toc26874"/>
      <w:r>
        <w:rPr>
          <w:rFonts w:hint="eastAsia" w:ascii="Times New Roman" w:hAnsi="Times New Roman" w:eastAsia="仿宋" w:cs="Times New Roman"/>
          <w:color w:val="000000"/>
          <w:sz w:val="30"/>
          <w:szCs w:val="30"/>
          <w:lang w:val="en-US" w:eastAsia="en-US"/>
        </w:rPr>
        <w:t>宗地基础设施配套程度修正</w:t>
      </w:r>
      <w:bookmarkEnd w:id="25"/>
      <w:bookmarkEnd w:id="26"/>
    </w:p>
    <w:p w14:paraId="216199BE">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巴彦淖尔甘其毛都口岸加工园区的工矿用地、仓储用地基准地价设施设定开发程度均达到“五通一平”条件。若宗地基础设施配套程度修正没有达到该程度，利用基准地价来评估宗地地价时就应该减去相应的开发费用，反之则加上相应的开发费用。详见基础设施配套程度开发费用表。</w:t>
      </w:r>
    </w:p>
    <w:p w14:paraId="58A6FCA4">
      <w:pPr>
        <w:pStyle w:val="5"/>
        <w:bidi w:val="0"/>
        <w:rPr>
          <w:rFonts w:hint="default"/>
          <w:lang w:val="en-US" w:eastAsia="zh-CN"/>
        </w:rPr>
      </w:pPr>
      <w:r>
        <w:rPr>
          <w:rFonts w:hint="eastAsia"/>
          <w:lang w:val="en-US" w:eastAsia="zh-CN"/>
        </w:rPr>
        <w:t>表1-6 基础设施配套费用表</w:t>
      </w:r>
    </w:p>
    <w:p w14:paraId="071B6867">
      <w:pPr>
        <w:pStyle w:val="5"/>
        <w:bidi w:val="0"/>
        <w:jc w:val="right"/>
        <w:rPr>
          <w:rFonts w:hint="default"/>
          <w:lang w:val="en-US" w:eastAsia="zh-CN"/>
        </w:rPr>
      </w:pPr>
      <w:r>
        <w:rPr>
          <w:rFonts w:hint="eastAsia"/>
          <w:lang w:val="en-US" w:eastAsia="zh-CN"/>
        </w:rPr>
        <w:t>单元：元/㎡</w:t>
      </w:r>
    </w:p>
    <w:bookmarkEnd w:id="27"/>
    <w:bookmarkEnd w:id="28"/>
    <w:tbl>
      <w:tblPr>
        <w:tblStyle w:val="8"/>
        <w:tblpPr w:leftFromText="180" w:rightFromText="180" w:vertAnchor="text" w:horzAnchor="page" w:tblpX="1356" w:tblpY="124"/>
        <w:tblOverlap w:val="never"/>
        <w:tblW w:w="92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58"/>
        <w:gridCol w:w="877"/>
        <w:gridCol w:w="752"/>
        <w:gridCol w:w="752"/>
        <w:gridCol w:w="1002"/>
        <w:gridCol w:w="1002"/>
        <w:gridCol w:w="877"/>
        <w:gridCol w:w="1003"/>
        <w:gridCol w:w="1254"/>
      </w:tblGrid>
      <w:tr w14:paraId="09605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6" w:hRule="atLeast"/>
        </w:trPr>
        <w:tc>
          <w:tcPr>
            <w:tcW w:w="1758" w:type="dxa"/>
            <w:noWrap w:val="0"/>
            <w:vAlign w:val="center"/>
          </w:tcPr>
          <w:p w14:paraId="6380742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基础设施状况</w:t>
            </w:r>
          </w:p>
        </w:tc>
        <w:tc>
          <w:tcPr>
            <w:tcW w:w="877" w:type="dxa"/>
            <w:noWrap w:val="0"/>
            <w:vAlign w:val="center"/>
          </w:tcPr>
          <w:p w14:paraId="1A7F4B1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通路</w:t>
            </w:r>
          </w:p>
        </w:tc>
        <w:tc>
          <w:tcPr>
            <w:tcW w:w="752" w:type="dxa"/>
            <w:noWrap w:val="0"/>
            <w:vAlign w:val="center"/>
          </w:tcPr>
          <w:p w14:paraId="211AFB3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通电</w:t>
            </w:r>
          </w:p>
        </w:tc>
        <w:tc>
          <w:tcPr>
            <w:tcW w:w="752" w:type="dxa"/>
            <w:noWrap w:val="0"/>
            <w:vAlign w:val="center"/>
          </w:tcPr>
          <w:p w14:paraId="1C25B03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通讯</w:t>
            </w:r>
          </w:p>
        </w:tc>
        <w:tc>
          <w:tcPr>
            <w:tcW w:w="1002" w:type="dxa"/>
            <w:noWrap w:val="0"/>
            <w:vAlign w:val="center"/>
          </w:tcPr>
          <w:p w14:paraId="7DE9E01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通上水</w:t>
            </w:r>
          </w:p>
        </w:tc>
        <w:tc>
          <w:tcPr>
            <w:tcW w:w="1002" w:type="dxa"/>
            <w:noWrap w:val="0"/>
            <w:vAlign w:val="center"/>
          </w:tcPr>
          <w:p w14:paraId="5C714F0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通下水</w:t>
            </w:r>
          </w:p>
        </w:tc>
        <w:tc>
          <w:tcPr>
            <w:tcW w:w="877" w:type="dxa"/>
            <w:noWrap w:val="0"/>
            <w:vAlign w:val="center"/>
          </w:tcPr>
          <w:p w14:paraId="01E684DD">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通暖</w:t>
            </w:r>
          </w:p>
        </w:tc>
        <w:tc>
          <w:tcPr>
            <w:tcW w:w="1003" w:type="dxa"/>
            <w:noWrap w:val="0"/>
            <w:vAlign w:val="center"/>
          </w:tcPr>
          <w:p w14:paraId="4482045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通燃气</w:t>
            </w:r>
          </w:p>
        </w:tc>
        <w:tc>
          <w:tcPr>
            <w:tcW w:w="1254" w:type="dxa"/>
            <w:noWrap w:val="0"/>
            <w:vAlign w:val="center"/>
          </w:tcPr>
          <w:p w14:paraId="5C9589D0">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平整土地</w:t>
            </w:r>
          </w:p>
        </w:tc>
      </w:tr>
      <w:tr w14:paraId="0CB27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758" w:type="dxa"/>
            <w:noWrap w:val="0"/>
            <w:vAlign w:val="center"/>
          </w:tcPr>
          <w:p w14:paraId="77CFBDB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开发费用</w:t>
            </w:r>
          </w:p>
        </w:tc>
        <w:tc>
          <w:tcPr>
            <w:tcW w:w="877" w:type="dxa"/>
            <w:noWrap w:val="0"/>
            <w:vAlign w:val="center"/>
          </w:tcPr>
          <w:p w14:paraId="055D966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3-8</w:t>
            </w:r>
          </w:p>
        </w:tc>
        <w:tc>
          <w:tcPr>
            <w:tcW w:w="752" w:type="dxa"/>
            <w:noWrap w:val="0"/>
            <w:vAlign w:val="center"/>
          </w:tcPr>
          <w:p w14:paraId="04957D3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3-8</w:t>
            </w:r>
          </w:p>
        </w:tc>
        <w:tc>
          <w:tcPr>
            <w:tcW w:w="752" w:type="dxa"/>
            <w:noWrap w:val="0"/>
            <w:vAlign w:val="center"/>
          </w:tcPr>
          <w:p w14:paraId="6547A80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3-8</w:t>
            </w:r>
          </w:p>
        </w:tc>
        <w:tc>
          <w:tcPr>
            <w:tcW w:w="1002" w:type="dxa"/>
            <w:noWrap w:val="0"/>
            <w:vAlign w:val="center"/>
          </w:tcPr>
          <w:p w14:paraId="3C2B00C7">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5-10</w:t>
            </w:r>
          </w:p>
        </w:tc>
        <w:tc>
          <w:tcPr>
            <w:tcW w:w="1002" w:type="dxa"/>
            <w:noWrap w:val="0"/>
            <w:vAlign w:val="center"/>
          </w:tcPr>
          <w:p w14:paraId="0BC3F70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5-10</w:t>
            </w:r>
          </w:p>
        </w:tc>
        <w:tc>
          <w:tcPr>
            <w:tcW w:w="877" w:type="dxa"/>
            <w:noWrap w:val="0"/>
            <w:vAlign w:val="center"/>
          </w:tcPr>
          <w:p w14:paraId="77EF20E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15-20</w:t>
            </w:r>
          </w:p>
        </w:tc>
        <w:tc>
          <w:tcPr>
            <w:tcW w:w="1003" w:type="dxa"/>
            <w:noWrap w:val="0"/>
            <w:vAlign w:val="center"/>
          </w:tcPr>
          <w:p w14:paraId="7352B4D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15-20</w:t>
            </w:r>
          </w:p>
        </w:tc>
        <w:tc>
          <w:tcPr>
            <w:tcW w:w="1254" w:type="dxa"/>
            <w:noWrap w:val="0"/>
            <w:vAlign w:val="center"/>
          </w:tcPr>
          <w:p w14:paraId="5E5E70DC">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3-8</w:t>
            </w:r>
          </w:p>
        </w:tc>
      </w:tr>
    </w:tbl>
    <w:p w14:paraId="249426F9">
      <w:pPr>
        <w:pStyle w:val="4"/>
        <w:keepNext w:val="0"/>
        <w:keepLines w:val="0"/>
        <w:overflowPunct w:val="0"/>
        <w:bidi w:val="0"/>
        <w:adjustRightInd w:val="0"/>
        <w:snapToGrid w:val="0"/>
        <w:spacing w:before="0" w:after="0" w:line="600" w:lineRule="exact"/>
        <w:ind w:firstLine="602" w:firstLineChars="200"/>
        <w:rPr>
          <w:rFonts w:hint="eastAsia" w:ascii="Times New Roman" w:hAnsi="Times New Roman" w:eastAsia="仿宋" w:cs="Times New Roman"/>
          <w:color w:val="000000"/>
          <w:sz w:val="30"/>
          <w:szCs w:val="30"/>
          <w:lang w:val="en-US" w:eastAsia="zh-CN"/>
        </w:rPr>
      </w:pPr>
      <w:bookmarkStart w:id="29" w:name="_Toc16791"/>
      <w:r>
        <w:rPr>
          <w:rFonts w:hint="eastAsia" w:ascii="Times New Roman" w:hAnsi="Times New Roman" w:eastAsia="仿宋" w:cs="Times New Roman"/>
          <w:color w:val="000000"/>
          <w:sz w:val="30"/>
          <w:szCs w:val="30"/>
          <w:lang w:val="en-US" w:eastAsia="zh-CN"/>
        </w:rPr>
        <w:t>（四）容积率修正</w:t>
      </w:r>
      <w:bookmarkEnd w:id="29"/>
    </w:p>
    <w:p w14:paraId="62A18EA9">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由于工矿用地和仓储用地样点较少，无法进行容积率修正系数测算，加之工矿用地和仓储用地在各级别内容积率差别不大，对地价影响较小，对工矿用地和仓储用地样点地价不进行容积率修正。</w:t>
      </w:r>
    </w:p>
    <w:p w14:paraId="0DFD7C94">
      <w:pPr>
        <w:pStyle w:val="4"/>
        <w:keepNext w:val="0"/>
        <w:keepLines w:val="0"/>
        <w:overflowPunct w:val="0"/>
        <w:bidi w:val="0"/>
        <w:adjustRightInd w:val="0"/>
        <w:snapToGrid w:val="0"/>
        <w:spacing w:before="0" w:after="0" w:line="600" w:lineRule="exact"/>
        <w:ind w:firstLine="602" w:firstLineChars="200"/>
        <w:rPr>
          <w:rFonts w:hint="eastAsia" w:ascii="Times New Roman" w:hAnsi="Times New Roman" w:eastAsia="仿宋" w:cs="Times New Roman"/>
          <w:color w:val="000000"/>
          <w:sz w:val="30"/>
          <w:szCs w:val="30"/>
          <w:lang w:val="en-US" w:eastAsia="zh-CN"/>
        </w:rPr>
      </w:pPr>
      <w:bookmarkStart w:id="30" w:name="_Toc22738"/>
      <w:bookmarkStart w:id="31" w:name="_Toc24767"/>
      <w:r>
        <w:rPr>
          <w:rFonts w:hint="eastAsia" w:ascii="Times New Roman" w:hAnsi="Times New Roman" w:eastAsia="仿宋" w:cs="Times New Roman"/>
          <w:color w:val="000000"/>
          <w:sz w:val="30"/>
          <w:szCs w:val="30"/>
          <w:lang w:val="en-US" w:eastAsia="zh-CN"/>
        </w:rPr>
        <w:t>（五）宗地面积状况修正</w:t>
      </w:r>
      <w:bookmarkEnd w:id="30"/>
      <w:bookmarkEnd w:id="31"/>
    </w:p>
    <w:p w14:paraId="5EFAB445">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巴彦淖尔甘其毛都口岸加工园区地价宗地面积状况修正公式为</w:t>
      </w:r>
    </w:p>
    <w:p w14:paraId="4972D89B">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 xml:space="preserve">P0＝P×Km                              </w:t>
      </w:r>
    </w:p>
    <w:p w14:paraId="55697A53">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式中：</w:t>
      </w:r>
    </w:p>
    <w:p w14:paraId="3B020370">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P0-宗地面积状况修正后宗地单位面积土地价格（元/平方米）；</w:t>
      </w:r>
    </w:p>
    <w:p w14:paraId="151F5D1D">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P-宗地所在级别的基准地价（元/平方米）；</w:t>
      </w:r>
    </w:p>
    <w:p w14:paraId="04FAED6B">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Km -宗地面积状况修正系数。</w:t>
      </w:r>
    </w:p>
    <w:p w14:paraId="7CEAF7D9">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巴彦淖尔甘其毛都口岸加工园区各类用地地价宗地面积状况修正系数</w:t>
      </w:r>
      <w:r>
        <w:rPr>
          <w:rFonts w:hint="eastAsia" w:cs="仿宋"/>
          <w:spacing w:val="0"/>
          <w:sz w:val="28"/>
          <w:szCs w:val="28"/>
          <w:highlight w:val="none"/>
          <w:lang w:val="en-US" w:eastAsia="zh-CN"/>
        </w:rPr>
        <w:t>如下</w:t>
      </w:r>
      <w:r>
        <w:rPr>
          <w:rFonts w:hint="eastAsia" w:ascii="仿宋" w:hAnsi="仿宋" w:eastAsia="仿宋" w:cs="仿宋"/>
          <w:spacing w:val="0"/>
          <w:sz w:val="28"/>
          <w:szCs w:val="28"/>
          <w:highlight w:val="none"/>
          <w:lang w:val="en-US" w:eastAsia="zh-CN"/>
        </w:rPr>
        <w:t>表：</w:t>
      </w:r>
    </w:p>
    <w:p w14:paraId="013A636D">
      <w:pPr>
        <w:pStyle w:val="5"/>
        <w:bidi w:val="0"/>
        <w:rPr>
          <w:rFonts w:hint="eastAsia" w:ascii="仿宋" w:hAnsi="仿宋" w:eastAsia="仿宋" w:cs="仿宋"/>
          <w:b/>
          <w:bCs/>
          <w:spacing w:val="-2"/>
          <w:kern w:val="2"/>
          <w:sz w:val="24"/>
          <w:szCs w:val="24"/>
          <w:lang w:val="en-US" w:eastAsia="zh-CN" w:bidi="ar-SA"/>
        </w:rPr>
      </w:pPr>
      <w:r>
        <w:rPr>
          <w:rFonts w:hint="eastAsia" w:cs="仿宋"/>
          <w:b/>
          <w:bCs/>
          <w:spacing w:val="-2"/>
          <w:kern w:val="2"/>
          <w:sz w:val="24"/>
          <w:szCs w:val="24"/>
          <w:lang w:val="en-US" w:eastAsia="zh-CN" w:bidi="ar-SA"/>
        </w:rPr>
        <w:t>表1</w:t>
      </w:r>
      <w:r>
        <w:rPr>
          <w:rFonts w:hint="eastAsia" w:ascii="仿宋" w:hAnsi="仿宋" w:eastAsia="仿宋" w:cs="仿宋"/>
          <w:b/>
          <w:bCs/>
          <w:spacing w:val="-2"/>
          <w:kern w:val="2"/>
          <w:sz w:val="24"/>
          <w:szCs w:val="24"/>
          <w:lang w:val="en-US" w:eastAsia="zh-CN" w:bidi="ar-SA"/>
        </w:rPr>
        <w:t>-7 工矿用地和仓储用地宗地面积状况修正说明表</w:t>
      </w:r>
    </w:p>
    <w:tbl>
      <w:tblPr>
        <w:tblStyle w:val="8"/>
        <w:tblW w:w="511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57"/>
        <w:gridCol w:w="1563"/>
        <w:gridCol w:w="1404"/>
        <w:gridCol w:w="1404"/>
        <w:gridCol w:w="1544"/>
        <w:gridCol w:w="1434"/>
      </w:tblGrid>
      <w:tr w14:paraId="7921F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atLeast"/>
          <w:jc w:val="center"/>
        </w:trPr>
        <w:tc>
          <w:tcPr>
            <w:tcW w:w="680" w:type="pct"/>
            <w:noWrap w:val="0"/>
            <w:vAlign w:val="center"/>
          </w:tcPr>
          <w:p w14:paraId="0E9CE1F9">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指标标准</w:t>
            </w:r>
          </w:p>
        </w:tc>
        <w:tc>
          <w:tcPr>
            <w:tcW w:w="918" w:type="pct"/>
            <w:noWrap w:val="0"/>
            <w:vAlign w:val="center"/>
          </w:tcPr>
          <w:p w14:paraId="5C15991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优</w:t>
            </w:r>
          </w:p>
        </w:tc>
        <w:tc>
          <w:tcPr>
            <w:tcW w:w="825" w:type="pct"/>
            <w:noWrap w:val="0"/>
            <w:vAlign w:val="center"/>
          </w:tcPr>
          <w:p w14:paraId="5F715F5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较优</w:t>
            </w:r>
          </w:p>
        </w:tc>
        <w:tc>
          <w:tcPr>
            <w:tcW w:w="825" w:type="pct"/>
            <w:noWrap w:val="0"/>
            <w:vAlign w:val="center"/>
          </w:tcPr>
          <w:p w14:paraId="6686853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一般</w:t>
            </w:r>
          </w:p>
        </w:tc>
        <w:tc>
          <w:tcPr>
            <w:tcW w:w="907" w:type="pct"/>
            <w:noWrap w:val="0"/>
            <w:vAlign w:val="center"/>
          </w:tcPr>
          <w:p w14:paraId="6F8C9918">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较劣</w:t>
            </w:r>
          </w:p>
        </w:tc>
        <w:tc>
          <w:tcPr>
            <w:tcW w:w="842" w:type="pct"/>
            <w:noWrap w:val="0"/>
            <w:vAlign w:val="center"/>
          </w:tcPr>
          <w:p w14:paraId="1139BE43">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劣</w:t>
            </w:r>
          </w:p>
        </w:tc>
      </w:tr>
      <w:tr w14:paraId="0E2A5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7" w:hRule="atLeast"/>
          <w:jc w:val="center"/>
        </w:trPr>
        <w:tc>
          <w:tcPr>
            <w:tcW w:w="680" w:type="pct"/>
            <w:noWrap w:val="0"/>
            <w:vAlign w:val="center"/>
          </w:tcPr>
          <w:p w14:paraId="76E78452">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指标标</w:t>
            </w:r>
          </w:p>
          <w:p w14:paraId="4FDF62AA">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准说明</w:t>
            </w:r>
          </w:p>
        </w:tc>
        <w:tc>
          <w:tcPr>
            <w:tcW w:w="918" w:type="pct"/>
            <w:noWrap w:val="0"/>
            <w:vAlign w:val="center"/>
          </w:tcPr>
          <w:p w14:paraId="0D83F00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面积适中，对土地利用极为有利</w:t>
            </w:r>
          </w:p>
        </w:tc>
        <w:tc>
          <w:tcPr>
            <w:tcW w:w="825" w:type="pct"/>
            <w:noWrap w:val="0"/>
            <w:vAlign w:val="center"/>
          </w:tcPr>
          <w:p w14:paraId="5D3FFFEF">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面积对土地利用较为有利</w:t>
            </w:r>
          </w:p>
        </w:tc>
        <w:tc>
          <w:tcPr>
            <w:tcW w:w="825" w:type="pct"/>
            <w:noWrap w:val="0"/>
            <w:vAlign w:val="center"/>
          </w:tcPr>
          <w:p w14:paraId="61E1632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面积对土地利用无不良影响</w:t>
            </w:r>
          </w:p>
        </w:tc>
        <w:tc>
          <w:tcPr>
            <w:tcW w:w="907" w:type="pct"/>
            <w:noWrap w:val="0"/>
            <w:vAlign w:val="center"/>
          </w:tcPr>
          <w:p w14:paraId="23575561">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面积较小，对土地利用有一定影响</w:t>
            </w:r>
          </w:p>
        </w:tc>
        <w:tc>
          <w:tcPr>
            <w:tcW w:w="842" w:type="pct"/>
            <w:noWrap w:val="0"/>
            <w:vAlign w:val="center"/>
          </w:tcPr>
          <w:p w14:paraId="623F533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面积过小。对土地利用产生严重影响</w:t>
            </w:r>
          </w:p>
        </w:tc>
      </w:tr>
      <w:tr w14:paraId="27A46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atLeast"/>
          <w:jc w:val="center"/>
        </w:trPr>
        <w:tc>
          <w:tcPr>
            <w:tcW w:w="680" w:type="pct"/>
            <w:noWrap w:val="0"/>
            <w:vAlign w:val="center"/>
          </w:tcPr>
          <w:p w14:paraId="15ECD9CE">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修正系数</w:t>
            </w:r>
          </w:p>
        </w:tc>
        <w:tc>
          <w:tcPr>
            <w:tcW w:w="918" w:type="pct"/>
            <w:noWrap w:val="0"/>
            <w:vAlign w:val="center"/>
          </w:tcPr>
          <w:p w14:paraId="3399075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1.04</w:t>
            </w:r>
          </w:p>
        </w:tc>
        <w:tc>
          <w:tcPr>
            <w:tcW w:w="825" w:type="pct"/>
            <w:noWrap w:val="0"/>
            <w:vAlign w:val="center"/>
          </w:tcPr>
          <w:p w14:paraId="56BDA9B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1.02</w:t>
            </w:r>
          </w:p>
        </w:tc>
        <w:tc>
          <w:tcPr>
            <w:tcW w:w="825" w:type="pct"/>
            <w:noWrap w:val="0"/>
            <w:vAlign w:val="center"/>
          </w:tcPr>
          <w:p w14:paraId="5FC9BDC6">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1.00</w:t>
            </w:r>
          </w:p>
        </w:tc>
        <w:tc>
          <w:tcPr>
            <w:tcW w:w="907" w:type="pct"/>
            <w:noWrap w:val="0"/>
            <w:vAlign w:val="center"/>
          </w:tcPr>
          <w:p w14:paraId="598F4484">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0.98</w:t>
            </w:r>
          </w:p>
        </w:tc>
        <w:tc>
          <w:tcPr>
            <w:tcW w:w="842" w:type="pct"/>
            <w:noWrap w:val="0"/>
            <w:vAlign w:val="center"/>
          </w:tcPr>
          <w:p w14:paraId="72733B3B">
            <w:pPr>
              <w:pStyle w:val="10"/>
              <w:widowControl/>
              <w:overflowPunct w:val="0"/>
              <w:topLinePunct/>
              <w:autoSpaceDE w:val="0"/>
              <w:autoSpaceDN w:val="0"/>
              <w:spacing w:line="240" w:lineRule="auto"/>
              <w:ind w:firstLine="0" w:firstLineChars="0"/>
              <w:textAlignment w:val="center"/>
              <w:rPr>
                <w:rFonts w:hint="eastAsia" w:ascii="仿宋" w:hAnsi="仿宋" w:eastAsia="仿宋" w:cs="仿宋"/>
                <w:b w:val="0"/>
                <w:bCs w:val="0"/>
                <w:i w:val="0"/>
                <w:iCs w:val="0"/>
                <w:color w:val="000000"/>
                <w:kern w:val="0"/>
                <w:sz w:val="21"/>
                <w:szCs w:val="21"/>
                <w:u w:val="none"/>
                <w:lang w:val="en-US" w:eastAsia="zh-CN" w:bidi="ar"/>
              </w:rPr>
            </w:pPr>
            <w:r>
              <w:rPr>
                <w:rFonts w:hint="eastAsia" w:ascii="仿宋" w:hAnsi="仿宋" w:eastAsia="仿宋" w:cs="仿宋"/>
                <w:b w:val="0"/>
                <w:bCs w:val="0"/>
                <w:i w:val="0"/>
                <w:iCs w:val="0"/>
                <w:color w:val="000000"/>
                <w:kern w:val="0"/>
                <w:sz w:val="21"/>
                <w:szCs w:val="21"/>
                <w:u w:val="none"/>
                <w:lang w:val="en-US" w:eastAsia="zh-CN" w:bidi="ar"/>
              </w:rPr>
              <w:t>0.96</w:t>
            </w:r>
          </w:p>
        </w:tc>
      </w:tr>
    </w:tbl>
    <w:p w14:paraId="225C51F2">
      <w:pPr>
        <w:pStyle w:val="4"/>
        <w:keepNext w:val="0"/>
        <w:keepLines w:val="0"/>
        <w:overflowPunct w:val="0"/>
        <w:bidi w:val="0"/>
        <w:adjustRightInd w:val="0"/>
        <w:snapToGrid w:val="0"/>
        <w:spacing w:before="0" w:after="0" w:line="600" w:lineRule="exact"/>
        <w:ind w:firstLine="602" w:firstLineChars="200"/>
        <w:rPr>
          <w:rFonts w:hint="eastAsia" w:ascii="Times New Roman" w:hAnsi="Times New Roman" w:eastAsia="仿宋" w:cs="Times New Roman"/>
          <w:color w:val="000000"/>
          <w:sz w:val="30"/>
          <w:szCs w:val="30"/>
          <w:lang w:val="en-US" w:eastAsia="zh-CN"/>
        </w:rPr>
      </w:pPr>
      <w:bookmarkStart w:id="32" w:name="_Toc7792"/>
      <w:bookmarkStart w:id="33" w:name="_Toc12377"/>
      <w:r>
        <w:rPr>
          <w:rFonts w:hint="eastAsia" w:ascii="Times New Roman" w:hAnsi="Times New Roman" w:eastAsia="仿宋" w:cs="Times New Roman"/>
          <w:color w:val="000000"/>
          <w:sz w:val="30"/>
          <w:szCs w:val="30"/>
          <w:lang w:val="en-US" w:eastAsia="zh-CN"/>
        </w:rPr>
        <w:t>（六）宗地形状状况修正</w:t>
      </w:r>
      <w:bookmarkEnd w:id="32"/>
      <w:bookmarkEnd w:id="33"/>
    </w:p>
    <w:p w14:paraId="5BBAEBA7">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巴彦淖尔甘其毛都口岸加工园区地价宗地形状状况修正公式为：</w:t>
      </w:r>
    </w:p>
    <w:p w14:paraId="7ECAB68A">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 xml:space="preserve">P0＝P×Kx                          </w:t>
      </w:r>
      <w:r>
        <w:rPr>
          <w:rFonts w:hint="eastAsia" w:ascii="仿宋" w:hAnsi="仿宋" w:eastAsia="仿宋" w:cs="仿宋"/>
          <w:spacing w:val="0"/>
          <w:sz w:val="28"/>
          <w:szCs w:val="28"/>
          <w:highlight w:val="none"/>
          <w:lang w:val="en-US" w:eastAsia="zh-CN"/>
        </w:rPr>
        <w:tab/>
      </w:r>
    </w:p>
    <w:p w14:paraId="65D9EB46">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式中：</w:t>
      </w:r>
    </w:p>
    <w:p w14:paraId="767B4389">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P0-宗地形状状况修正后宗地单位面积土地价格（元/平方米）；</w:t>
      </w:r>
    </w:p>
    <w:p w14:paraId="4F316300">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P -宗地所在级别的基准地价（元/平方米）；</w:t>
      </w:r>
    </w:p>
    <w:p w14:paraId="28C9EBB6">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Kx -宗地形状状况修正系数。</w:t>
      </w:r>
    </w:p>
    <w:p w14:paraId="2D3E687D">
      <w:pPr>
        <w:keepNext w:val="0"/>
        <w:keepLines w:val="0"/>
        <w:pageBreakBefore w:val="0"/>
        <w:widowControl w:val="0"/>
        <w:kinsoku/>
        <w:wordWrap/>
        <w:overflowPunct w:val="0"/>
        <w:topLinePunct w:val="0"/>
        <w:autoSpaceDE/>
        <w:autoSpaceDN/>
        <w:bidi w:val="0"/>
        <w:adjustRightInd/>
        <w:snapToGrid/>
        <w:spacing w:line="600" w:lineRule="exact"/>
        <w:ind w:left="0" w:right="0" w:firstLine="560" w:firstLineChars="200"/>
        <w:jc w:val="both"/>
        <w:textAlignment w:val="auto"/>
        <w:rPr>
          <w:rFonts w:hint="eastAsia" w:ascii="仿宋" w:hAnsi="仿宋" w:eastAsia="仿宋" w:cs="仿宋"/>
          <w:spacing w:val="0"/>
          <w:sz w:val="28"/>
          <w:szCs w:val="28"/>
          <w:highlight w:val="none"/>
          <w:lang w:val="en-US" w:eastAsia="zh-CN"/>
        </w:rPr>
      </w:pPr>
      <w:r>
        <w:rPr>
          <w:rFonts w:hint="eastAsia" w:ascii="仿宋" w:hAnsi="仿宋" w:eastAsia="仿宋" w:cs="仿宋"/>
          <w:spacing w:val="0"/>
          <w:sz w:val="28"/>
          <w:szCs w:val="28"/>
          <w:highlight w:val="none"/>
          <w:lang w:val="en-US" w:eastAsia="zh-CN"/>
        </w:rPr>
        <w:t>巴彦淖尔甘其毛都口岸加工园区各类地价宗地形状状况修正系数</w:t>
      </w:r>
      <w:r>
        <w:rPr>
          <w:rFonts w:hint="eastAsia" w:cs="仿宋"/>
          <w:spacing w:val="0"/>
          <w:sz w:val="28"/>
          <w:szCs w:val="28"/>
          <w:highlight w:val="none"/>
          <w:lang w:val="en-US" w:eastAsia="zh-CN"/>
        </w:rPr>
        <w:t>如下</w:t>
      </w:r>
      <w:r>
        <w:rPr>
          <w:rFonts w:hint="eastAsia" w:ascii="仿宋" w:hAnsi="仿宋" w:eastAsia="仿宋" w:cs="仿宋"/>
          <w:spacing w:val="0"/>
          <w:sz w:val="28"/>
          <w:szCs w:val="28"/>
          <w:highlight w:val="none"/>
          <w:lang w:val="en-US" w:eastAsia="zh-CN"/>
        </w:rPr>
        <w:t>表：</w:t>
      </w:r>
    </w:p>
    <w:p w14:paraId="576A8294">
      <w:pPr>
        <w:rPr>
          <w:rFonts w:hint="eastAsia"/>
          <w:lang w:val="en-US" w:eastAsia="zh-CN"/>
        </w:rPr>
      </w:pPr>
      <w:r>
        <w:rPr>
          <w:rFonts w:hint="eastAsia"/>
          <w:lang w:val="en-US" w:eastAsia="zh-CN"/>
        </w:rPr>
        <w:br w:type="page"/>
      </w:r>
    </w:p>
    <w:p w14:paraId="565668BB">
      <w:pPr>
        <w:pStyle w:val="5"/>
        <w:bidi w:val="0"/>
        <w:rPr>
          <w:rFonts w:hint="eastAsia"/>
          <w:lang w:val="en-US" w:eastAsia="zh-CN"/>
        </w:rPr>
      </w:pPr>
      <w:r>
        <w:rPr>
          <w:rFonts w:hint="eastAsia"/>
          <w:lang w:val="en-US" w:eastAsia="zh-CN"/>
        </w:rPr>
        <w:t xml:space="preserve">表1-8 </w:t>
      </w:r>
      <w:bookmarkStart w:id="34" w:name="_GoBack"/>
      <w:bookmarkEnd w:id="34"/>
      <w:r>
        <w:rPr>
          <w:rFonts w:hint="eastAsia"/>
          <w:lang w:val="en-US" w:eastAsia="zh-CN"/>
        </w:rPr>
        <w:t>工矿用地、仓储用地宗地形状状况修正说明表</w:t>
      </w:r>
    </w:p>
    <w:tbl>
      <w:tblPr>
        <w:tblStyle w:val="8"/>
        <w:tblW w:w="52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68"/>
        <w:gridCol w:w="1468"/>
        <w:gridCol w:w="1468"/>
        <w:gridCol w:w="1468"/>
        <w:gridCol w:w="1469"/>
        <w:gridCol w:w="1467"/>
      </w:tblGrid>
      <w:tr w14:paraId="19C1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833" w:type="pct"/>
            <w:noWrap w:val="0"/>
            <w:vAlign w:val="center"/>
          </w:tcPr>
          <w:p w14:paraId="1C71EC08">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指标标准</w:t>
            </w:r>
          </w:p>
        </w:tc>
        <w:tc>
          <w:tcPr>
            <w:tcW w:w="833" w:type="pct"/>
            <w:noWrap w:val="0"/>
            <w:vAlign w:val="center"/>
          </w:tcPr>
          <w:p w14:paraId="19AB6CB6">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优</w:t>
            </w:r>
          </w:p>
        </w:tc>
        <w:tc>
          <w:tcPr>
            <w:tcW w:w="833" w:type="pct"/>
            <w:noWrap w:val="0"/>
            <w:vAlign w:val="center"/>
          </w:tcPr>
          <w:p w14:paraId="0558806B">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较优</w:t>
            </w:r>
          </w:p>
        </w:tc>
        <w:tc>
          <w:tcPr>
            <w:tcW w:w="833" w:type="pct"/>
            <w:noWrap w:val="0"/>
            <w:vAlign w:val="center"/>
          </w:tcPr>
          <w:p w14:paraId="76EDAA58">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一般</w:t>
            </w:r>
          </w:p>
        </w:tc>
        <w:tc>
          <w:tcPr>
            <w:tcW w:w="833" w:type="pct"/>
            <w:noWrap w:val="0"/>
            <w:vAlign w:val="center"/>
          </w:tcPr>
          <w:p w14:paraId="30EB8F11">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较劣</w:t>
            </w:r>
          </w:p>
        </w:tc>
        <w:tc>
          <w:tcPr>
            <w:tcW w:w="832" w:type="pct"/>
            <w:noWrap w:val="0"/>
            <w:vAlign w:val="center"/>
          </w:tcPr>
          <w:p w14:paraId="14E9670E">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劣</w:t>
            </w:r>
          </w:p>
        </w:tc>
      </w:tr>
      <w:tr w14:paraId="102A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134" w:hRule="atLeast"/>
        </w:trPr>
        <w:tc>
          <w:tcPr>
            <w:tcW w:w="833" w:type="pct"/>
            <w:noWrap w:val="0"/>
            <w:vAlign w:val="center"/>
          </w:tcPr>
          <w:p w14:paraId="34EFBF4C">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指标标准说明</w:t>
            </w:r>
          </w:p>
        </w:tc>
        <w:tc>
          <w:tcPr>
            <w:tcW w:w="833" w:type="pct"/>
            <w:noWrap w:val="0"/>
            <w:vAlign w:val="center"/>
          </w:tcPr>
          <w:p w14:paraId="1BD652FB">
            <w:pPr>
              <w:widowControl/>
              <w:adjustRightInd w:val="0"/>
              <w:snapToGrid w:val="0"/>
              <w:spacing w:beforeLines="0" w:afterLines="0" w:line="240" w:lineRule="auto"/>
              <w:ind w:left="0" w:leftChars="0" w:right="0" w:righ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形状规则，对土地利用合理。</w:t>
            </w:r>
          </w:p>
        </w:tc>
        <w:tc>
          <w:tcPr>
            <w:tcW w:w="833" w:type="pct"/>
            <w:noWrap w:val="0"/>
            <w:vAlign w:val="center"/>
          </w:tcPr>
          <w:p w14:paraId="778A9B45">
            <w:pPr>
              <w:widowControl/>
              <w:adjustRightInd w:val="0"/>
              <w:snapToGrid w:val="0"/>
              <w:spacing w:beforeLines="0" w:afterLines="0" w:line="240" w:lineRule="auto"/>
              <w:ind w:left="0" w:leftChars="0" w:right="0" w:righ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土地利用较为合理。</w:t>
            </w:r>
          </w:p>
        </w:tc>
        <w:tc>
          <w:tcPr>
            <w:tcW w:w="833" w:type="pct"/>
            <w:noWrap w:val="0"/>
            <w:vAlign w:val="center"/>
          </w:tcPr>
          <w:p w14:paraId="0181D8B2">
            <w:pPr>
              <w:widowControl/>
              <w:adjustRightInd w:val="0"/>
              <w:snapToGrid w:val="0"/>
              <w:spacing w:beforeLines="0" w:afterLines="0" w:line="240" w:lineRule="auto"/>
              <w:ind w:left="0" w:leftChars="0" w:right="0" w:righ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土地利用无不良影响。</w:t>
            </w:r>
          </w:p>
        </w:tc>
        <w:tc>
          <w:tcPr>
            <w:tcW w:w="833" w:type="pct"/>
            <w:noWrap w:val="0"/>
            <w:vAlign w:val="center"/>
          </w:tcPr>
          <w:p w14:paraId="57F2F217">
            <w:pPr>
              <w:widowControl/>
              <w:adjustRightInd w:val="0"/>
              <w:snapToGrid w:val="0"/>
              <w:spacing w:beforeLines="0" w:afterLines="0" w:line="240" w:lineRule="auto"/>
              <w:ind w:left="0" w:leftChars="0" w:right="0" w:righ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形状不规则，对土地利用不合理。</w:t>
            </w:r>
          </w:p>
        </w:tc>
        <w:tc>
          <w:tcPr>
            <w:tcW w:w="832" w:type="pct"/>
            <w:noWrap w:val="0"/>
            <w:vAlign w:val="center"/>
          </w:tcPr>
          <w:p w14:paraId="459AE4F4">
            <w:pPr>
              <w:widowControl/>
              <w:adjustRightInd w:val="0"/>
              <w:snapToGrid w:val="0"/>
              <w:spacing w:beforeLines="0" w:afterLines="0" w:line="240" w:lineRule="auto"/>
              <w:ind w:left="0" w:leftChars="0" w:right="0" w:righ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形状不规则，对土地利用产生严重影响。</w:t>
            </w:r>
          </w:p>
        </w:tc>
      </w:tr>
      <w:tr w14:paraId="79A25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2" w:hRule="atLeast"/>
        </w:trPr>
        <w:tc>
          <w:tcPr>
            <w:tcW w:w="833" w:type="pct"/>
            <w:noWrap w:val="0"/>
            <w:vAlign w:val="center"/>
          </w:tcPr>
          <w:p w14:paraId="50A81399">
            <w:pPr>
              <w:widowControl/>
              <w:adjustRightInd w:val="0"/>
              <w:snapToGrid w:val="0"/>
              <w:spacing w:beforeLines="0" w:afterLines="0" w:line="240" w:lineRule="auto"/>
              <w:ind w:left="0" w:leftChars="0" w:firstLine="0" w:firstLine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修正系数</w:t>
            </w:r>
          </w:p>
        </w:tc>
        <w:tc>
          <w:tcPr>
            <w:tcW w:w="833" w:type="pct"/>
            <w:noWrap w:val="0"/>
            <w:vAlign w:val="center"/>
          </w:tcPr>
          <w:p w14:paraId="6ED942DF">
            <w:pPr>
              <w:widowControl/>
              <w:adjustRightInd w:val="0"/>
              <w:snapToGrid w:val="0"/>
              <w:spacing w:beforeLines="0" w:afterLines="0" w:line="24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1.0</w:t>
            </w:r>
            <w:r>
              <w:rPr>
                <w:rFonts w:hint="eastAsia" w:ascii="仿宋" w:hAnsi="仿宋" w:eastAsia="仿宋" w:cs="仿宋"/>
                <w:color w:val="auto"/>
                <w:sz w:val="21"/>
                <w:szCs w:val="21"/>
                <w:highlight w:val="none"/>
                <w:lang w:val="en-US" w:eastAsia="zh-CN"/>
              </w:rPr>
              <w:t>3</w:t>
            </w:r>
          </w:p>
        </w:tc>
        <w:tc>
          <w:tcPr>
            <w:tcW w:w="833" w:type="pct"/>
            <w:noWrap w:val="0"/>
            <w:vAlign w:val="center"/>
          </w:tcPr>
          <w:p w14:paraId="444A6BE4">
            <w:pPr>
              <w:widowControl/>
              <w:adjustRightInd w:val="0"/>
              <w:snapToGrid w:val="0"/>
              <w:spacing w:beforeLines="0" w:afterLines="0" w:line="24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1.0</w:t>
            </w:r>
            <w:r>
              <w:rPr>
                <w:rFonts w:hint="eastAsia" w:ascii="仿宋" w:hAnsi="仿宋" w:eastAsia="仿宋" w:cs="仿宋"/>
                <w:color w:val="auto"/>
                <w:sz w:val="21"/>
                <w:szCs w:val="21"/>
                <w:highlight w:val="none"/>
                <w:lang w:val="en-US" w:eastAsia="zh-CN"/>
              </w:rPr>
              <w:t>2</w:t>
            </w:r>
          </w:p>
        </w:tc>
        <w:tc>
          <w:tcPr>
            <w:tcW w:w="833" w:type="pct"/>
            <w:noWrap w:val="0"/>
            <w:vAlign w:val="center"/>
          </w:tcPr>
          <w:p w14:paraId="35AFAACE">
            <w:pPr>
              <w:widowControl/>
              <w:adjustRightInd w:val="0"/>
              <w:snapToGrid w:val="0"/>
              <w:spacing w:beforeLines="0" w:afterLines="0" w:line="240" w:lineRule="auto"/>
              <w:ind w:left="0" w:lef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1.00</w:t>
            </w:r>
          </w:p>
        </w:tc>
        <w:tc>
          <w:tcPr>
            <w:tcW w:w="833" w:type="pct"/>
            <w:noWrap w:val="0"/>
            <w:vAlign w:val="center"/>
          </w:tcPr>
          <w:p w14:paraId="28A05F35">
            <w:pPr>
              <w:widowControl/>
              <w:adjustRightInd w:val="0"/>
              <w:snapToGrid w:val="0"/>
              <w:spacing w:beforeLines="0" w:afterLines="0" w:line="240" w:lineRule="auto"/>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0.</w:t>
            </w:r>
            <w:r>
              <w:rPr>
                <w:rFonts w:hint="eastAsia" w:ascii="仿宋" w:hAnsi="仿宋" w:eastAsia="仿宋" w:cs="仿宋"/>
                <w:color w:val="auto"/>
                <w:sz w:val="21"/>
                <w:szCs w:val="21"/>
                <w:highlight w:val="none"/>
                <w:lang w:val="en-US" w:eastAsia="zh-CN"/>
              </w:rPr>
              <w:t>98</w:t>
            </w:r>
          </w:p>
        </w:tc>
        <w:tc>
          <w:tcPr>
            <w:tcW w:w="832" w:type="pct"/>
            <w:noWrap w:val="0"/>
            <w:vAlign w:val="center"/>
          </w:tcPr>
          <w:p w14:paraId="0C9F414F">
            <w:pPr>
              <w:widowControl/>
              <w:adjustRightInd w:val="0"/>
              <w:snapToGrid w:val="0"/>
              <w:spacing w:beforeLines="0" w:afterLines="0" w:line="240" w:lineRule="auto"/>
              <w:ind w:left="0" w:lef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0.9</w:t>
            </w:r>
            <w:r>
              <w:rPr>
                <w:rFonts w:hint="eastAsia" w:ascii="仿宋" w:hAnsi="仿宋" w:eastAsia="仿宋" w:cs="仿宋"/>
                <w:color w:val="auto"/>
                <w:sz w:val="21"/>
                <w:szCs w:val="21"/>
                <w:highlight w:val="none"/>
                <w:lang w:val="en-US" w:eastAsia="zh-CN"/>
              </w:rPr>
              <w:t>7</w:t>
            </w:r>
          </w:p>
        </w:tc>
      </w:tr>
    </w:tbl>
    <w:p w14:paraId="0EEC2233">
      <w:pPr>
        <w:keepNext w:val="0"/>
        <w:keepLines w:val="0"/>
        <w:pageBreakBefore w:val="0"/>
        <w:widowControl w:val="0"/>
        <w:kinsoku/>
        <w:wordWrap/>
        <w:overflowPunct w:val="0"/>
        <w:topLinePunct w:val="0"/>
        <w:autoSpaceDE/>
        <w:autoSpaceDN/>
        <w:bidi w:val="0"/>
        <w:adjustRightInd/>
        <w:snapToGrid/>
        <w:spacing w:line="560" w:lineRule="exact"/>
        <w:ind w:left="0" w:firstLine="562" w:firstLineChars="200"/>
        <w:jc w:val="both"/>
        <w:textAlignment w:val="auto"/>
        <w:rPr>
          <w:rFonts w:hint="eastAsia" w:ascii="仿宋" w:hAnsi="仿宋" w:eastAsia="仿宋" w:cs="仿宋"/>
          <w:b/>
          <w:bCs/>
          <w:sz w:val="28"/>
          <w:szCs w:val="28"/>
          <w:lang w:val="en-US" w:eastAsia="zh-CN"/>
        </w:rPr>
      </w:pPr>
    </w:p>
    <w:p w14:paraId="33EB33BF">
      <w:pPr>
        <w:ind w:left="0" w:leftChars="0" w:firstLine="0" w:firstLineChars="0"/>
        <w:jc w:val="center"/>
        <w:rPr>
          <w:rFonts w:hint="eastAsia" w:ascii="黑体" w:hAnsi="黑体" w:eastAsia="黑体" w:cs="黑体"/>
          <w:b/>
          <w:snapToGrid w:val="0"/>
          <w:color w:val="auto"/>
          <w:kern w:val="0"/>
          <w:sz w:val="32"/>
          <w:szCs w:val="3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EAD9C">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80664C">
    <w:pPr>
      <w:pStyle w:val="6"/>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F93A40"/>
    <w:rsid w:val="4C8E7BBE"/>
    <w:rsid w:val="539F19FF"/>
    <w:rsid w:val="5ED252A1"/>
    <w:rsid w:val="62D26C78"/>
    <w:rsid w:val="63403C1D"/>
    <w:rsid w:val="66665234"/>
    <w:rsid w:val="6E143A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kinsoku/>
      <w:overflowPunct/>
      <w:autoSpaceDE/>
      <w:autoSpaceDN/>
      <w:adjustRightInd w:val="0"/>
      <w:snapToGrid w:val="0"/>
      <w:spacing w:line="600" w:lineRule="exact"/>
      <w:ind w:firstLine="602" w:firstLineChars="200"/>
      <w:jc w:val="left"/>
      <w:textAlignment w:val="baseline"/>
    </w:pPr>
    <w:rPr>
      <w:rFonts w:ascii="仿宋" w:hAnsi="仿宋" w:eastAsia="仿宋" w:cs="Arial"/>
      <w:snapToGrid w:val="0"/>
      <w:color w:val="000000"/>
      <w:kern w:val="0"/>
      <w:sz w:val="28"/>
      <w:szCs w:val="21"/>
      <w:lang w:val="en-US" w:eastAsia="en-US"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2"/>
    <w:next w:val="1"/>
    <w:qFormat/>
    <w:uiPriority w:val="0"/>
    <w:pPr>
      <w:keepNext/>
      <w:keepLines/>
      <w:spacing w:before="260" w:after="260" w:line="416" w:lineRule="auto"/>
      <w:outlineLvl w:val="1"/>
    </w:pPr>
    <w:rPr>
      <w:rFonts w:ascii="Arial" w:hAnsi="Arial" w:eastAsia="黑体"/>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Block Text"/>
    <w:basedOn w:val="1"/>
    <w:unhideWhenUsed/>
    <w:qFormat/>
    <w:uiPriority w:val="99"/>
    <w:pPr>
      <w:spacing w:line="240" w:lineRule="auto"/>
      <w:ind w:firstLine="0" w:firstLineChars="0"/>
      <w:jc w:val="center"/>
    </w:pPr>
    <w:rPr>
      <w:b/>
      <w:sz w:val="24"/>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表格"/>
    <w:basedOn w:val="1"/>
    <w:autoRedefine/>
    <w:qFormat/>
    <w:uiPriority w:val="0"/>
    <w:pPr>
      <w:overflowPunct w:val="0"/>
      <w:autoSpaceDE w:val="0"/>
      <w:autoSpaceDN w:val="0"/>
      <w:spacing w:beforeLines="0" w:afterLines="0" w:line="240" w:lineRule="auto"/>
      <w:ind w:firstLine="0" w:firstLineChars="0"/>
      <w:jc w:val="center"/>
      <w:textAlignment w:val="center"/>
    </w:pPr>
    <w:rPr>
      <w:rFonts w:hint="eastAsia" w:cs="仿宋"/>
      <w:sz w:val="21"/>
      <w:u w:val="none"/>
      <w:lang w:eastAsia="zh-CN" w:bidi="ar"/>
    </w:rPr>
  </w:style>
  <w:style w:type="table" w:customStyle="1" w:styleId="11">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1397</Words>
  <Characters>1784</Characters>
  <Lines>0</Lines>
  <Paragraphs>0</Paragraphs>
  <TotalTime>15</TotalTime>
  <ScaleCrop>false</ScaleCrop>
  <LinksUpToDate>false</LinksUpToDate>
  <CharactersWithSpaces>1891</CharactersWithSpaces>
  <Application>WPS Office_12.1.0.25856_F1E327BC-269C-435d-A152-05C5408002CA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2025-01-02T09:04:00Z</dcterms:created>
  <dc:creator>19269</dc:creator>
  <cp:lastModifiedBy>是天天呀</cp:lastModifiedBy>
  <dcterms:modified xsi:type="dcterms:W3CDTF">2026-04-07T09:16:16Z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2052-12.1.0.25856</vt:lpwstr>
  </property>
  <property fmtid="{D5CDD505-2E9C-101B-9397-08002B2CF9AE}" pid="3" name="ICV">
    <vt:lpwstr>81724F6E862A433882C750C7CCF6A1BB_12</vt:lpwstr>
  </property>
  <property fmtid="{D5CDD505-2E9C-101B-9397-08002B2CF9AE}" pid="4" name="KSOTemplateDocerSaveRecord">
    <vt:lpwstr>eyJoZGlkIjoiY2UzOGM2NTc2MjFiMmY0ZTZhNjRkODg2MjhhYTgzOTgiLCJ1c2VySWQiOiIyNzk0ODc4NDgifQ==</vt:lpwstr>
  </property>
</Properties>
</file>