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B2A4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sz w:val="32"/>
          <w:szCs w:val="32"/>
          <w:lang w:val="en-US" w:eastAsia="zh-CN"/>
        </w:rPr>
        <w:sectPr>
          <w:headerReference r:id="rId3" w:type="default"/>
          <w:footerReference r:id="rId4" w:type="default"/>
          <w:footerReference r:id="rId5" w:type="even"/>
          <w:pgSz w:w="11907" w:h="16840"/>
          <w:pgMar w:top="1701" w:right="1418" w:bottom="1418" w:left="1701" w:header="720" w:footer="720" w:gutter="0"/>
          <w:pgNumType w:start="0"/>
          <w:cols w:space="720" w:num="1"/>
          <w:titlePg/>
          <w:docGrid w:linePitch="271" w:charSpace="0"/>
        </w:sectPr>
      </w:pPr>
      <w:bookmarkStart w:id="205" w:name="_GoBack"/>
      <w:r>
        <w:rPr>
          <w:rFonts w:hint="eastAsia" w:ascii="仿宋" w:hAnsi="仿宋" w:eastAsia="仿宋" w:cs="仿宋"/>
          <w:b/>
          <w:sz w:val="32"/>
          <w:szCs w:val="32"/>
          <w:lang w:val="en-US" w:eastAsia="zh-CN"/>
        </w:rPr>
        <w:drawing>
          <wp:inline distT="0" distB="0" distL="114300" distR="114300">
            <wp:extent cx="5578475" cy="7888605"/>
            <wp:effectExtent l="0" t="0" r="3175" b="17145"/>
            <wp:docPr id="5" name="图片 5" descr="123456_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3456_043"/>
                    <pic:cNvPicPr>
                      <a:picLocks noChangeAspect="1"/>
                    </pic:cNvPicPr>
                  </pic:nvPicPr>
                  <pic:blipFill>
                    <a:blip r:embed="rId17"/>
                    <a:stretch>
                      <a:fillRect/>
                    </a:stretch>
                  </pic:blipFill>
                  <pic:spPr>
                    <a:xfrm>
                      <a:off x="0" y="0"/>
                      <a:ext cx="5578475" cy="7888605"/>
                    </a:xfrm>
                    <a:prstGeom prst="rect">
                      <a:avLst/>
                    </a:prstGeom>
                  </pic:spPr>
                </pic:pic>
              </a:graphicData>
            </a:graphic>
          </wp:inline>
        </w:drawing>
      </w:r>
      <w:bookmarkEnd w:id="205"/>
    </w:p>
    <w:p w14:paraId="514BAEA4">
      <w:pPr>
        <w:rPr>
          <w:rFonts w:hint="eastAsia" w:ascii="仿宋" w:hAnsi="仿宋" w:eastAsia="仿宋" w:cs="仿宋"/>
          <w:b/>
          <w:bCs w:val="0"/>
          <w:sz w:val="36"/>
          <w:szCs w:val="36"/>
        </w:rPr>
      </w:pPr>
      <w:r>
        <w:rPr>
          <w:rFonts w:hint="eastAsia" w:ascii="仿宋" w:hAnsi="仿宋" w:eastAsia="仿宋" w:cs="仿宋"/>
          <w:b/>
          <w:bCs w:val="0"/>
          <w:sz w:val="36"/>
          <w:szCs w:val="36"/>
        </w:rPr>
        <w:br w:type="page"/>
      </w:r>
    </w:p>
    <w:p w14:paraId="4CEE70E4">
      <w:pPr>
        <w:spacing w:line="360" w:lineRule="auto"/>
        <w:jc w:val="center"/>
        <w:rPr>
          <w:rFonts w:hint="eastAsia" w:ascii="仿宋" w:hAnsi="仿宋" w:eastAsia="仿宋" w:cs="仿宋"/>
          <w:b/>
          <w:bCs w:val="0"/>
          <w:sz w:val="36"/>
          <w:szCs w:val="36"/>
        </w:rPr>
      </w:pPr>
      <w:r>
        <w:rPr>
          <w:rFonts w:hint="eastAsia" w:ascii="仿宋" w:hAnsi="仿宋" w:eastAsia="仿宋" w:cs="仿宋"/>
          <w:b/>
          <w:bCs w:val="0"/>
          <w:sz w:val="36"/>
          <w:szCs w:val="36"/>
        </w:rPr>
        <w:t>目</w:t>
      </w:r>
      <w:r>
        <w:rPr>
          <w:rFonts w:hint="eastAsia" w:ascii="仿宋" w:hAnsi="仿宋" w:eastAsia="仿宋" w:cs="仿宋"/>
          <w:b/>
          <w:bCs w:val="0"/>
          <w:sz w:val="36"/>
          <w:szCs w:val="36"/>
          <w:lang w:val="en-US" w:eastAsia="zh-CN"/>
        </w:rPr>
        <w:t xml:space="preserve"> </w:t>
      </w:r>
      <w:r>
        <w:rPr>
          <w:rFonts w:hint="eastAsia" w:ascii="仿宋" w:hAnsi="仿宋" w:eastAsia="仿宋" w:cs="仿宋"/>
          <w:b/>
          <w:bCs w:val="0"/>
          <w:sz w:val="36"/>
          <w:szCs w:val="36"/>
        </w:rPr>
        <w:t xml:space="preserve"> 录</w:t>
      </w:r>
    </w:p>
    <w:p w14:paraId="699869CE">
      <w:pPr>
        <w:pStyle w:val="11"/>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pPr>
      <w:r>
        <w:rPr>
          <w:rFonts w:hint="eastAsia" w:ascii="仿宋" w:hAnsi="仿宋" w:eastAsia="仿宋" w:cs="仿宋"/>
          <w:bCs w:val="0"/>
          <w:caps w:val="0"/>
          <w:sz w:val="28"/>
          <w:szCs w:val="28"/>
        </w:rPr>
        <w:fldChar w:fldCharType="begin"/>
      </w:r>
      <w:r>
        <w:rPr>
          <w:rFonts w:hint="eastAsia" w:ascii="仿宋" w:hAnsi="仿宋" w:eastAsia="仿宋" w:cs="仿宋"/>
          <w:bCs w:val="0"/>
          <w:caps w:val="0"/>
          <w:sz w:val="28"/>
          <w:szCs w:val="28"/>
        </w:rPr>
        <w:instrText xml:space="preserve">TOC \o "1-2" \h \u </w:instrText>
      </w:r>
      <w:r>
        <w:rPr>
          <w:rFonts w:hint="eastAsia" w:ascii="仿宋" w:hAnsi="仿宋" w:eastAsia="仿宋" w:cs="仿宋"/>
          <w:bCs w:val="0"/>
          <w:caps w:val="0"/>
          <w:sz w:val="28"/>
          <w:szCs w:val="28"/>
        </w:rPr>
        <w:fldChar w:fldCharType="separate"/>
      </w:r>
      <w:r>
        <w:rPr>
          <w:rFonts w:hint="eastAsia" w:ascii="仿宋" w:hAnsi="仿宋" w:eastAsia="仿宋" w:cs="仿宋"/>
          <w:bCs w:val="0"/>
          <w:caps w:val="0"/>
          <w:sz w:val="28"/>
          <w:szCs w:val="28"/>
        </w:rPr>
        <w:fldChar w:fldCharType="begin"/>
      </w:r>
      <w:r>
        <w:rPr>
          <w:rFonts w:hint="eastAsia" w:ascii="仿宋" w:hAnsi="仿宋" w:eastAsia="仿宋" w:cs="仿宋"/>
          <w:bCs w:val="0"/>
          <w:caps w:val="0"/>
          <w:sz w:val="28"/>
          <w:szCs w:val="28"/>
        </w:rPr>
        <w:instrText xml:space="preserve"> HYPERLINK \l _Toc8694 </w:instrText>
      </w:r>
      <w:r>
        <w:rPr>
          <w:rFonts w:hint="eastAsia" w:ascii="仿宋" w:hAnsi="仿宋" w:eastAsia="仿宋" w:cs="仿宋"/>
          <w:bCs w:val="0"/>
          <w:caps w:val="0"/>
          <w:sz w:val="28"/>
          <w:szCs w:val="28"/>
        </w:rPr>
        <w:fldChar w:fldCharType="separate"/>
      </w:r>
      <w:r>
        <w:rPr>
          <w:rFonts w:hint="eastAsia" w:ascii="黑体" w:eastAsia="黑体"/>
          <w:sz w:val="28"/>
          <w:szCs w:val="28"/>
          <w:lang w:val="en-US" w:eastAsia="zh-CN"/>
        </w:rPr>
        <w:t>一、</w:t>
      </w:r>
      <w:r>
        <w:rPr>
          <w:rFonts w:hint="eastAsia" w:ascii="黑体" w:eastAsia="黑体"/>
          <w:sz w:val="28"/>
          <w:szCs w:val="28"/>
        </w:rPr>
        <w:t>基准地价主要成果</w:t>
      </w:r>
      <w:r>
        <w:rPr>
          <w:sz w:val="28"/>
          <w:szCs w:val="28"/>
        </w:rPr>
        <w:tab/>
      </w:r>
      <w:r>
        <w:rPr>
          <w:sz w:val="28"/>
          <w:szCs w:val="28"/>
        </w:rPr>
        <w:fldChar w:fldCharType="begin"/>
      </w:r>
      <w:r>
        <w:rPr>
          <w:sz w:val="28"/>
          <w:szCs w:val="28"/>
        </w:rPr>
        <w:instrText xml:space="preserve"> PAGEREF _Toc8694 \h </w:instrText>
      </w:r>
      <w:r>
        <w:rPr>
          <w:sz w:val="28"/>
          <w:szCs w:val="28"/>
        </w:rPr>
        <w:fldChar w:fldCharType="separate"/>
      </w:r>
      <w:r>
        <w:rPr>
          <w:sz w:val="28"/>
          <w:szCs w:val="28"/>
        </w:rPr>
        <w:t>1</w:t>
      </w:r>
      <w:r>
        <w:rPr>
          <w:sz w:val="28"/>
          <w:szCs w:val="28"/>
        </w:rPr>
        <w:fldChar w:fldCharType="end"/>
      </w:r>
      <w:r>
        <w:rPr>
          <w:rFonts w:hint="eastAsia" w:ascii="仿宋" w:hAnsi="仿宋" w:eastAsia="仿宋" w:cs="仿宋"/>
          <w:bCs w:val="0"/>
          <w:caps w:val="0"/>
          <w:sz w:val="28"/>
          <w:szCs w:val="28"/>
        </w:rPr>
        <w:fldChar w:fldCharType="end"/>
      </w:r>
    </w:p>
    <w:p w14:paraId="31E53487">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_Toc48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一</w:t>
      </w:r>
      <w:r>
        <w:rPr>
          <w:rFonts w:hint="eastAsia" w:ascii="仿宋" w:hAnsi="仿宋" w:eastAsia="仿宋" w:cs="仿宋"/>
          <w:bCs/>
          <w:sz w:val="28"/>
          <w:szCs w:val="28"/>
          <w:lang w:eastAsia="zh-CN"/>
        </w:rPr>
        <w:t>）五原县巴彦套海镇</w:t>
      </w:r>
      <w:r>
        <w:rPr>
          <w:rFonts w:hint="eastAsia" w:ascii="仿宋" w:hAnsi="仿宋" w:eastAsia="仿宋" w:cs="仿宋"/>
          <w:bCs/>
          <w:sz w:val="28"/>
          <w:szCs w:val="28"/>
        </w:rPr>
        <w:t>土地定级成果</w:t>
      </w:r>
      <w:r>
        <w:rPr>
          <w:sz w:val="28"/>
          <w:szCs w:val="28"/>
        </w:rPr>
        <w:tab/>
      </w:r>
      <w:r>
        <w:rPr>
          <w:sz w:val="28"/>
          <w:szCs w:val="28"/>
        </w:rPr>
        <w:fldChar w:fldCharType="begin"/>
      </w:r>
      <w:r>
        <w:rPr>
          <w:sz w:val="28"/>
          <w:szCs w:val="28"/>
        </w:rPr>
        <w:instrText xml:space="preserve"> PAGEREF _Toc48 \h </w:instrText>
      </w:r>
      <w:r>
        <w:rPr>
          <w:sz w:val="28"/>
          <w:szCs w:val="28"/>
        </w:rPr>
        <w:fldChar w:fldCharType="separate"/>
      </w:r>
      <w:r>
        <w:rPr>
          <w:sz w:val="28"/>
          <w:szCs w:val="28"/>
        </w:rPr>
        <w:t>1</w:t>
      </w:r>
      <w:r>
        <w:rPr>
          <w:sz w:val="28"/>
          <w:szCs w:val="28"/>
        </w:rPr>
        <w:fldChar w:fldCharType="end"/>
      </w:r>
      <w:r>
        <w:rPr>
          <w:rFonts w:hint="eastAsia" w:ascii="仿宋" w:hAnsi="仿宋" w:eastAsia="仿宋" w:cs="仿宋"/>
          <w:bCs/>
          <w:caps/>
          <w:sz w:val="28"/>
          <w:szCs w:val="28"/>
        </w:rPr>
        <w:fldChar w:fldCharType="end"/>
      </w:r>
    </w:p>
    <w:p w14:paraId="1A9E633B">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_Toc9924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val="en-US" w:eastAsia="zh-CN"/>
        </w:rPr>
        <w:t>（二）五原县巴彦套海镇各类用地级别基准地价</w:t>
      </w:r>
      <w:r>
        <w:rPr>
          <w:sz w:val="28"/>
          <w:szCs w:val="28"/>
        </w:rPr>
        <w:tab/>
      </w:r>
      <w:r>
        <w:rPr>
          <w:sz w:val="28"/>
          <w:szCs w:val="28"/>
        </w:rPr>
        <w:fldChar w:fldCharType="begin"/>
      </w:r>
      <w:r>
        <w:rPr>
          <w:sz w:val="28"/>
          <w:szCs w:val="28"/>
        </w:rPr>
        <w:instrText xml:space="preserve"> PAGEREF _Toc9924 \h </w:instrText>
      </w:r>
      <w:r>
        <w:rPr>
          <w:sz w:val="28"/>
          <w:szCs w:val="28"/>
        </w:rPr>
        <w:fldChar w:fldCharType="separate"/>
      </w:r>
      <w:r>
        <w:rPr>
          <w:sz w:val="28"/>
          <w:szCs w:val="28"/>
        </w:rPr>
        <w:t>7</w:t>
      </w:r>
      <w:r>
        <w:rPr>
          <w:sz w:val="28"/>
          <w:szCs w:val="28"/>
        </w:rPr>
        <w:fldChar w:fldCharType="end"/>
      </w:r>
      <w:r>
        <w:rPr>
          <w:rFonts w:hint="eastAsia" w:ascii="仿宋" w:hAnsi="仿宋" w:eastAsia="仿宋" w:cs="仿宋"/>
          <w:bCs/>
          <w:caps/>
          <w:sz w:val="28"/>
          <w:szCs w:val="28"/>
        </w:rPr>
        <w:fldChar w:fldCharType="end"/>
      </w:r>
    </w:p>
    <w:p w14:paraId="3DE618C5">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_Toc28528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val="en-US" w:eastAsia="zh-CN"/>
        </w:rPr>
        <w:t>（三）五原县巴彦套海镇</w:t>
      </w:r>
      <w:r>
        <w:rPr>
          <w:rFonts w:hint="default" w:ascii="Times New Roman" w:hAnsi="Times New Roman" w:eastAsia="仿宋" w:cs="Times New Roman"/>
          <w:bCs/>
          <w:sz w:val="28"/>
          <w:szCs w:val="28"/>
          <w:lang w:val="en-US" w:eastAsia="zh-CN"/>
        </w:rPr>
        <w:t>基准地价内涵</w:t>
      </w:r>
      <w:r>
        <w:rPr>
          <w:sz w:val="28"/>
          <w:szCs w:val="28"/>
        </w:rPr>
        <w:tab/>
      </w:r>
      <w:r>
        <w:rPr>
          <w:sz w:val="28"/>
          <w:szCs w:val="28"/>
        </w:rPr>
        <w:fldChar w:fldCharType="begin"/>
      </w:r>
      <w:r>
        <w:rPr>
          <w:sz w:val="28"/>
          <w:szCs w:val="28"/>
        </w:rPr>
        <w:instrText xml:space="preserve"> PAGEREF _Toc28528 \h </w:instrText>
      </w:r>
      <w:r>
        <w:rPr>
          <w:sz w:val="28"/>
          <w:szCs w:val="28"/>
        </w:rPr>
        <w:fldChar w:fldCharType="separate"/>
      </w:r>
      <w:r>
        <w:rPr>
          <w:sz w:val="28"/>
          <w:szCs w:val="28"/>
        </w:rPr>
        <w:t>7</w:t>
      </w:r>
      <w:r>
        <w:rPr>
          <w:sz w:val="28"/>
          <w:szCs w:val="28"/>
        </w:rPr>
        <w:fldChar w:fldCharType="end"/>
      </w:r>
      <w:r>
        <w:rPr>
          <w:rFonts w:hint="eastAsia" w:ascii="仿宋" w:hAnsi="仿宋" w:eastAsia="仿宋" w:cs="仿宋"/>
          <w:bCs/>
          <w:caps/>
          <w:sz w:val="28"/>
          <w:szCs w:val="28"/>
        </w:rPr>
        <w:fldChar w:fldCharType="end"/>
      </w:r>
    </w:p>
    <w:p w14:paraId="35C79909">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_Toc8097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val="en-US" w:eastAsia="zh-CN"/>
        </w:rPr>
        <w:t>（四）土地用途细分及其他用途修正</w:t>
      </w:r>
      <w:r>
        <w:rPr>
          <w:sz w:val="28"/>
          <w:szCs w:val="28"/>
        </w:rPr>
        <w:tab/>
      </w:r>
      <w:r>
        <w:rPr>
          <w:sz w:val="28"/>
          <w:szCs w:val="28"/>
        </w:rPr>
        <w:fldChar w:fldCharType="begin"/>
      </w:r>
      <w:r>
        <w:rPr>
          <w:sz w:val="28"/>
          <w:szCs w:val="28"/>
        </w:rPr>
        <w:instrText xml:space="preserve"> PAGEREF _Toc8097 \h </w:instrText>
      </w:r>
      <w:r>
        <w:rPr>
          <w:sz w:val="28"/>
          <w:szCs w:val="28"/>
        </w:rPr>
        <w:fldChar w:fldCharType="separate"/>
      </w:r>
      <w:r>
        <w:rPr>
          <w:sz w:val="28"/>
          <w:szCs w:val="28"/>
        </w:rPr>
        <w:t>8</w:t>
      </w:r>
      <w:r>
        <w:rPr>
          <w:sz w:val="28"/>
          <w:szCs w:val="28"/>
        </w:rPr>
        <w:fldChar w:fldCharType="end"/>
      </w:r>
      <w:r>
        <w:rPr>
          <w:rFonts w:hint="eastAsia" w:ascii="仿宋" w:hAnsi="仿宋" w:eastAsia="仿宋" w:cs="仿宋"/>
          <w:bCs/>
          <w:caps/>
          <w:sz w:val="28"/>
          <w:szCs w:val="28"/>
        </w:rPr>
        <w:fldChar w:fldCharType="end"/>
      </w:r>
    </w:p>
    <w:p w14:paraId="3CD9825B">
      <w:pPr>
        <w:pStyle w:val="11"/>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_Toc29215 </w:instrText>
      </w:r>
      <w:r>
        <w:rPr>
          <w:rFonts w:hint="eastAsia" w:ascii="仿宋" w:hAnsi="仿宋" w:eastAsia="仿宋" w:cs="仿宋"/>
          <w:bCs/>
          <w:caps/>
          <w:sz w:val="28"/>
          <w:szCs w:val="28"/>
        </w:rPr>
        <w:fldChar w:fldCharType="separate"/>
      </w:r>
      <w:r>
        <w:rPr>
          <w:rFonts w:hint="eastAsia" w:ascii="黑体" w:hAnsi="Times New Roman" w:eastAsia="黑体" w:cs="Times New Roman"/>
          <w:bCs/>
          <w:sz w:val="28"/>
          <w:szCs w:val="28"/>
          <w:lang w:val="en-US" w:eastAsia="zh-CN"/>
        </w:rPr>
        <w:t>二、各类用地基准地价修正体系</w:t>
      </w:r>
      <w:r>
        <w:rPr>
          <w:sz w:val="28"/>
          <w:szCs w:val="28"/>
        </w:rPr>
        <w:tab/>
      </w:r>
      <w:r>
        <w:rPr>
          <w:sz w:val="28"/>
          <w:szCs w:val="28"/>
        </w:rPr>
        <w:fldChar w:fldCharType="begin"/>
      </w:r>
      <w:r>
        <w:rPr>
          <w:sz w:val="28"/>
          <w:szCs w:val="28"/>
        </w:rPr>
        <w:instrText xml:space="preserve"> PAGEREF _Toc29215 \h </w:instrText>
      </w:r>
      <w:r>
        <w:rPr>
          <w:sz w:val="28"/>
          <w:szCs w:val="28"/>
        </w:rPr>
        <w:fldChar w:fldCharType="separate"/>
      </w:r>
      <w:r>
        <w:rPr>
          <w:sz w:val="28"/>
          <w:szCs w:val="28"/>
        </w:rPr>
        <w:t>12</w:t>
      </w:r>
      <w:r>
        <w:rPr>
          <w:sz w:val="28"/>
          <w:szCs w:val="28"/>
        </w:rPr>
        <w:fldChar w:fldCharType="end"/>
      </w:r>
      <w:r>
        <w:rPr>
          <w:rFonts w:hint="eastAsia" w:ascii="仿宋" w:hAnsi="仿宋" w:eastAsia="仿宋" w:cs="仿宋"/>
          <w:bCs/>
          <w:caps/>
          <w:sz w:val="28"/>
          <w:szCs w:val="28"/>
        </w:rPr>
        <w:fldChar w:fldCharType="end"/>
      </w:r>
    </w:p>
    <w:p w14:paraId="501486A7">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_Toc3167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val="en-US" w:eastAsia="zh-CN"/>
        </w:rPr>
        <w:t>（一）各类用地宗地地价影响因素指标说明及修正系数</w:t>
      </w:r>
      <w:r>
        <w:rPr>
          <w:sz w:val="28"/>
          <w:szCs w:val="28"/>
        </w:rPr>
        <w:tab/>
      </w:r>
      <w:r>
        <w:rPr>
          <w:sz w:val="28"/>
          <w:szCs w:val="28"/>
        </w:rPr>
        <w:fldChar w:fldCharType="begin"/>
      </w:r>
      <w:r>
        <w:rPr>
          <w:sz w:val="28"/>
          <w:szCs w:val="28"/>
        </w:rPr>
        <w:instrText xml:space="preserve"> PAGEREF _Toc3167 \h </w:instrText>
      </w:r>
      <w:r>
        <w:rPr>
          <w:sz w:val="28"/>
          <w:szCs w:val="28"/>
        </w:rPr>
        <w:fldChar w:fldCharType="separate"/>
      </w:r>
      <w:r>
        <w:rPr>
          <w:sz w:val="28"/>
          <w:szCs w:val="28"/>
        </w:rPr>
        <w:t>12</w:t>
      </w:r>
      <w:r>
        <w:rPr>
          <w:sz w:val="28"/>
          <w:szCs w:val="28"/>
        </w:rPr>
        <w:fldChar w:fldCharType="end"/>
      </w:r>
      <w:r>
        <w:rPr>
          <w:rFonts w:hint="eastAsia" w:ascii="仿宋" w:hAnsi="仿宋" w:eastAsia="仿宋" w:cs="仿宋"/>
          <w:bCs/>
          <w:caps/>
          <w:sz w:val="28"/>
          <w:szCs w:val="28"/>
        </w:rPr>
        <w:fldChar w:fldCharType="end"/>
      </w:r>
    </w:p>
    <w:p w14:paraId="47CB5259">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_Toc6050 </w:instrText>
      </w:r>
      <w:r>
        <w:rPr>
          <w:rFonts w:hint="eastAsia" w:ascii="仿宋" w:hAnsi="仿宋" w:eastAsia="仿宋" w:cs="仿宋"/>
          <w:bCs/>
          <w:caps/>
          <w:sz w:val="28"/>
          <w:szCs w:val="28"/>
        </w:rPr>
        <w:fldChar w:fldCharType="separate"/>
      </w:r>
      <w:r>
        <w:rPr>
          <w:rFonts w:hint="eastAsia" w:ascii="仿宋" w:hAnsi="仿宋" w:eastAsia="仿宋" w:cs="仿宋"/>
          <w:bCs w:val="0"/>
          <w:sz w:val="28"/>
          <w:szCs w:val="28"/>
          <w:lang w:eastAsia="zh-CN"/>
        </w:rPr>
        <w:t>（</w:t>
      </w:r>
      <w:r>
        <w:rPr>
          <w:rFonts w:hint="eastAsia" w:ascii="仿宋" w:hAnsi="仿宋" w:eastAsia="仿宋" w:cs="仿宋"/>
          <w:bCs w:val="0"/>
          <w:sz w:val="28"/>
          <w:szCs w:val="28"/>
          <w:lang w:val="en-US" w:eastAsia="zh-CN"/>
        </w:rPr>
        <w:t>二</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各类用地宗地地价其它因素修正系数</w:t>
      </w:r>
      <w:r>
        <w:rPr>
          <w:sz w:val="28"/>
          <w:szCs w:val="28"/>
        </w:rPr>
        <w:tab/>
      </w:r>
      <w:r>
        <w:rPr>
          <w:sz w:val="28"/>
          <w:szCs w:val="28"/>
        </w:rPr>
        <w:fldChar w:fldCharType="begin"/>
      </w:r>
      <w:r>
        <w:rPr>
          <w:sz w:val="28"/>
          <w:szCs w:val="28"/>
        </w:rPr>
        <w:instrText xml:space="preserve"> PAGEREF _Toc6050 \h </w:instrText>
      </w:r>
      <w:r>
        <w:rPr>
          <w:sz w:val="28"/>
          <w:szCs w:val="28"/>
        </w:rPr>
        <w:fldChar w:fldCharType="separate"/>
      </w:r>
      <w:r>
        <w:rPr>
          <w:sz w:val="28"/>
          <w:szCs w:val="28"/>
        </w:rPr>
        <w:t>12</w:t>
      </w:r>
      <w:r>
        <w:rPr>
          <w:sz w:val="28"/>
          <w:szCs w:val="28"/>
        </w:rPr>
        <w:fldChar w:fldCharType="end"/>
      </w:r>
      <w:r>
        <w:rPr>
          <w:rFonts w:hint="eastAsia" w:ascii="仿宋" w:hAnsi="仿宋" w:eastAsia="仿宋" w:cs="仿宋"/>
          <w:bCs/>
          <w:caps/>
          <w:sz w:val="28"/>
          <w:szCs w:val="28"/>
        </w:rPr>
        <w:fldChar w:fldCharType="end"/>
      </w:r>
    </w:p>
    <w:p w14:paraId="67B69C58">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_Toc31299 </w:instrText>
      </w:r>
      <w:r>
        <w:rPr>
          <w:rFonts w:hint="eastAsia" w:ascii="仿宋" w:hAnsi="仿宋" w:eastAsia="仿宋" w:cs="仿宋"/>
          <w:bCs/>
          <w:caps/>
          <w:sz w:val="28"/>
          <w:szCs w:val="28"/>
        </w:rPr>
        <w:fldChar w:fldCharType="separate"/>
      </w:r>
      <w:r>
        <w:rPr>
          <w:rFonts w:hint="eastAsia" w:ascii="仿宋" w:hAnsi="仿宋" w:eastAsia="仿宋" w:cs="仿宋"/>
          <w:bCs w:val="0"/>
          <w:sz w:val="28"/>
          <w:szCs w:val="28"/>
          <w:lang w:val="en-US" w:eastAsia="zh-CN" w:bidi="ar-SA"/>
        </w:rPr>
        <w:t>（三）宗地基础设施配套程度修正</w:t>
      </w:r>
      <w:r>
        <w:rPr>
          <w:sz w:val="28"/>
          <w:szCs w:val="28"/>
        </w:rPr>
        <w:tab/>
      </w:r>
      <w:r>
        <w:rPr>
          <w:sz w:val="28"/>
          <w:szCs w:val="28"/>
        </w:rPr>
        <w:fldChar w:fldCharType="begin"/>
      </w:r>
      <w:r>
        <w:rPr>
          <w:sz w:val="28"/>
          <w:szCs w:val="28"/>
        </w:rPr>
        <w:instrText xml:space="preserve"> PAGEREF _Toc31299 \h </w:instrText>
      </w:r>
      <w:r>
        <w:rPr>
          <w:sz w:val="28"/>
          <w:szCs w:val="28"/>
        </w:rPr>
        <w:fldChar w:fldCharType="separate"/>
      </w:r>
      <w:r>
        <w:rPr>
          <w:sz w:val="28"/>
          <w:szCs w:val="28"/>
        </w:rPr>
        <w:t>36</w:t>
      </w:r>
      <w:r>
        <w:rPr>
          <w:sz w:val="28"/>
          <w:szCs w:val="28"/>
        </w:rPr>
        <w:fldChar w:fldCharType="end"/>
      </w:r>
      <w:r>
        <w:rPr>
          <w:rFonts w:hint="eastAsia" w:ascii="仿宋" w:hAnsi="仿宋" w:eastAsia="仿宋" w:cs="仿宋"/>
          <w:bCs/>
          <w:caps/>
          <w:sz w:val="28"/>
          <w:szCs w:val="28"/>
        </w:rPr>
        <w:fldChar w:fldCharType="end"/>
      </w:r>
    </w:p>
    <w:p w14:paraId="0A0AD927">
      <w:pPr>
        <w:pStyle w:val="11"/>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_Toc19922 </w:instrText>
      </w:r>
      <w:r>
        <w:rPr>
          <w:rFonts w:hint="eastAsia" w:ascii="仿宋" w:hAnsi="仿宋" w:eastAsia="仿宋" w:cs="仿宋"/>
          <w:bCs/>
          <w:caps/>
          <w:sz w:val="28"/>
          <w:szCs w:val="28"/>
        </w:rPr>
        <w:fldChar w:fldCharType="separate"/>
      </w:r>
      <w:r>
        <w:rPr>
          <w:rFonts w:hint="eastAsia" w:ascii="黑体" w:eastAsia="黑体"/>
          <w:sz w:val="28"/>
          <w:szCs w:val="28"/>
          <w:lang w:val="en-US" w:eastAsia="zh-CN"/>
        </w:rPr>
        <w:t>三、巴彦套海镇</w:t>
      </w:r>
      <w:r>
        <w:rPr>
          <w:rFonts w:hint="eastAsia" w:ascii="黑体" w:eastAsia="黑体"/>
          <w:sz w:val="28"/>
          <w:szCs w:val="28"/>
        </w:rPr>
        <w:t>土地定级估价成果应用建议及说明</w:t>
      </w:r>
      <w:r>
        <w:rPr>
          <w:sz w:val="28"/>
          <w:szCs w:val="28"/>
        </w:rPr>
        <w:tab/>
      </w:r>
      <w:r>
        <w:rPr>
          <w:sz w:val="28"/>
          <w:szCs w:val="28"/>
        </w:rPr>
        <w:fldChar w:fldCharType="begin"/>
      </w:r>
      <w:r>
        <w:rPr>
          <w:sz w:val="28"/>
          <w:szCs w:val="28"/>
        </w:rPr>
        <w:instrText xml:space="preserve"> PAGEREF _Toc19922 \h </w:instrText>
      </w:r>
      <w:r>
        <w:rPr>
          <w:sz w:val="28"/>
          <w:szCs w:val="28"/>
        </w:rPr>
        <w:fldChar w:fldCharType="separate"/>
      </w:r>
      <w:r>
        <w:rPr>
          <w:sz w:val="28"/>
          <w:szCs w:val="28"/>
        </w:rPr>
        <w:t>37</w:t>
      </w:r>
      <w:r>
        <w:rPr>
          <w:sz w:val="28"/>
          <w:szCs w:val="28"/>
        </w:rPr>
        <w:fldChar w:fldCharType="end"/>
      </w:r>
      <w:r>
        <w:rPr>
          <w:rFonts w:hint="eastAsia" w:ascii="仿宋" w:hAnsi="仿宋" w:eastAsia="仿宋" w:cs="仿宋"/>
          <w:bCs/>
          <w:caps/>
          <w:sz w:val="28"/>
          <w:szCs w:val="28"/>
        </w:rPr>
        <w:fldChar w:fldCharType="end"/>
      </w:r>
    </w:p>
    <w:p w14:paraId="3DC6388F">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_Toc1729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一</w:t>
      </w:r>
      <w:r>
        <w:rPr>
          <w:rFonts w:hint="eastAsia" w:ascii="仿宋" w:hAnsi="仿宋" w:eastAsia="仿宋" w:cs="仿宋"/>
          <w:bCs/>
          <w:sz w:val="28"/>
          <w:szCs w:val="28"/>
          <w:lang w:eastAsia="zh-CN"/>
        </w:rPr>
        <w:t>）</w:t>
      </w:r>
      <w:r>
        <w:rPr>
          <w:rFonts w:hint="eastAsia" w:ascii="仿宋" w:hAnsi="仿宋" w:eastAsia="仿宋" w:cs="仿宋"/>
          <w:bCs/>
          <w:sz w:val="28"/>
          <w:szCs w:val="28"/>
        </w:rPr>
        <w:t>成果的内容及应用建议</w:t>
      </w:r>
      <w:r>
        <w:rPr>
          <w:sz w:val="28"/>
          <w:szCs w:val="28"/>
        </w:rPr>
        <w:tab/>
      </w:r>
      <w:r>
        <w:rPr>
          <w:sz w:val="28"/>
          <w:szCs w:val="28"/>
        </w:rPr>
        <w:fldChar w:fldCharType="begin"/>
      </w:r>
      <w:r>
        <w:rPr>
          <w:sz w:val="28"/>
          <w:szCs w:val="28"/>
        </w:rPr>
        <w:instrText xml:space="preserve"> PAGEREF _Toc1729 \h </w:instrText>
      </w:r>
      <w:r>
        <w:rPr>
          <w:sz w:val="28"/>
          <w:szCs w:val="28"/>
        </w:rPr>
        <w:fldChar w:fldCharType="separate"/>
      </w:r>
      <w:r>
        <w:rPr>
          <w:sz w:val="28"/>
          <w:szCs w:val="28"/>
        </w:rPr>
        <w:t>37</w:t>
      </w:r>
      <w:r>
        <w:rPr>
          <w:sz w:val="28"/>
          <w:szCs w:val="28"/>
        </w:rPr>
        <w:fldChar w:fldCharType="end"/>
      </w:r>
      <w:r>
        <w:rPr>
          <w:rFonts w:hint="eastAsia" w:ascii="仿宋" w:hAnsi="仿宋" w:eastAsia="仿宋" w:cs="仿宋"/>
          <w:bCs/>
          <w:caps/>
          <w:sz w:val="28"/>
          <w:szCs w:val="28"/>
        </w:rPr>
        <w:fldChar w:fldCharType="end"/>
      </w:r>
    </w:p>
    <w:p w14:paraId="0149B461">
      <w:pPr>
        <w:pStyle w:val="12"/>
        <w:keepNext w:val="0"/>
        <w:keepLines w:val="0"/>
        <w:pageBreakBefore w:val="0"/>
        <w:widowControl/>
        <w:tabs>
          <w:tab w:val="right" w:leader="dot" w:pos="8505"/>
        </w:tabs>
        <w:kinsoku/>
        <w:wordWrap/>
        <w:overflowPunct/>
        <w:topLinePunct w:val="0"/>
        <w:autoSpaceDE/>
        <w:autoSpaceDN/>
        <w:bidi w:val="0"/>
        <w:adjustRightInd/>
        <w:snapToGrid/>
        <w:spacing w:line="480" w:lineRule="auto"/>
        <w:textAlignment w:val="auto"/>
        <w:rPr>
          <w:sz w:val="28"/>
          <w:szCs w:val="28"/>
        </w:rPr>
      </w:pPr>
      <w:r>
        <w:rPr>
          <w:rFonts w:hint="eastAsia" w:ascii="仿宋" w:hAnsi="仿宋" w:eastAsia="仿宋" w:cs="仿宋"/>
          <w:bCs/>
          <w:caps/>
          <w:sz w:val="28"/>
          <w:szCs w:val="28"/>
        </w:rPr>
        <w:fldChar w:fldCharType="begin"/>
      </w:r>
      <w:r>
        <w:rPr>
          <w:rFonts w:hint="eastAsia" w:ascii="仿宋" w:hAnsi="仿宋" w:eastAsia="仿宋" w:cs="仿宋"/>
          <w:bCs/>
          <w:caps/>
          <w:sz w:val="28"/>
          <w:szCs w:val="28"/>
        </w:rPr>
        <w:instrText xml:space="preserve"> HYPERLINK \l _Toc3916 </w:instrText>
      </w:r>
      <w:r>
        <w:rPr>
          <w:rFonts w:hint="eastAsia" w:ascii="仿宋" w:hAnsi="仿宋" w:eastAsia="仿宋" w:cs="仿宋"/>
          <w:bCs/>
          <w:caps/>
          <w:sz w:val="28"/>
          <w:szCs w:val="28"/>
        </w:rPr>
        <w:fldChar w:fldCharType="separate"/>
      </w:r>
      <w:r>
        <w:rPr>
          <w:rFonts w:hint="eastAsia" w:ascii="仿宋" w:hAnsi="仿宋" w:eastAsia="仿宋" w:cs="仿宋"/>
          <w:bCs/>
          <w:sz w:val="28"/>
          <w:szCs w:val="28"/>
          <w:lang w:val="en-US" w:eastAsia="zh-CN"/>
        </w:rPr>
        <w:t>（二）成果的应用说明</w:t>
      </w:r>
      <w:r>
        <w:rPr>
          <w:sz w:val="28"/>
          <w:szCs w:val="28"/>
        </w:rPr>
        <w:tab/>
      </w:r>
      <w:r>
        <w:rPr>
          <w:sz w:val="28"/>
          <w:szCs w:val="28"/>
        </w:rPr>
        <w:fldChar w:fldCharType="begin"/>
      </w:r>
      <w:r>
        <w:rPr>
          <w:sz w:val="28"/>
          <w:szCs w:val="28"/>
        </w:rPr>
        <w:instrText xml:space="preserve"> PAGEREF _Toc3916 \h </w:instrText>
      </w:r>
      <w:r>
        <w:rPr>
          <w:sz w:val="28"/>
          <w:szCs w:val="28"/>
        </w:rPr>
        <w:fldChar w:fldCharType="separate"/>
      </w:r>
      <w:r>
        <w:rPr>
          <w:sz w:val="28"/>
          <w:szCs w:val="28"/>
        </w:rPr>
        <w:t>39</w:t>
      </w:r>
      <w:r>
        <w:rPr>
          <w:sz w:val="28"/>
          <w:szCs w:val="28"/>
        </w:rPr>
        <w:fldChar w:fldCharType="end"/>
      </w:r>
      <w:r>
        <w:rPr>
          <w:rFonts w:hint="eastAsia" w:ascii="仿宋" w:hAnsi="仿宋" w:eastAsia="仿宋" w:cs="仿宋"/>
          <w:bCs/>
          <w:caps/>
          <w:sz w:val="28"/>
          <w:szCs w:val="28"/>
        </w:rPr>
        <w:fldChar w:fldCharType="end"/>
      </w:r>
    </w:p>
    <w:p w14:paraId="53BCC561">
      <w:pPr>
        <w:keepNext w:val="0"/>
        <w:keepLines w:val="0"/>
        <w:pageBreakBefore w:val="0"/>
        <w:widowControl/>
        <w:kinsoku/>
        <w:wordWrap/>
        <w:overflowPunct/>
        <w:topLinePunct w:val="0"/>
        <w:autoSpaceDE/>
        <w:autoSpaceDN/>
        <w:bidi w:val="0"/>
        <w:adjustRightInd/>
        <w:snapToGrid/>
        <w:spacing w:line="480" w:lineRule="auto"/>
        <w:jc w:val="distribute"/>
        <w:textAlignment w:val="auto"/>
        <w:rPr>
          <w:rFonts w:hint="eastAsia" w:ascii="仿宋" w:hAnsi="仿宋" w:eastAsia="仿宋" w:cs="仿宋"/>
          <w:bCs/>
          <w:caps/>
          <w:sz w:val="28"/>
          <w:szCs w:val="28"/>
        </w:rPr>
        <w:sectPr>
          <w:footerReference r:id="rId8" w:type="first"/>
          <w:headerReference r:id="rId6" w:type="default"/>
          <w:footerReference r:id="rId7" w:type="default"/>
          <w:pgSz w:w="11907" w:h="16840"/>
          <w:pgMar w:top="1701" w:right="1701" w:bottom="1701" w:left="1701" w:header="720" w:footer="720" w:gutter="0"/>
          <w:pgNumType w:fmt="decimal" w:start="1"/>
          <w:cols w:space="720" w:num="1"/>
          <w:docGrid w:linePitch="271" w:charSpace="0"/>
        </w:sectPr>
      </w:pPr>
      <w:r>
        <w:rPr>
          <w:rFonts w:hint="eastAsia" w:ascii="仿宋" w:hAnsi="仿宋" w:eastAsia="仿宋" w:cs="仿宋"/>
          <w:bCs/>
          <w:caps/>
          <w:szCs w:val="28"/>
        </w:rPr>
        <w:fldChar w:fldCharType="end"/>
      </w:r>
    </w:p>
    <w:p w14:paraId="0D60416D">
      <w:pPr>
        <w:spacing w:line="360" w:lineRule="auto"/>
        <w:rPr>
          <w:rFonts w:hint="eastAsia" w:ascii="仿宋" w:hAnsi="仿宋" w:eastAsia="仿宋" w:cs="仿宋"/>
          <w:sz w:val="28"/>
          <w:szCs w:val="28"/>
        </w:rPr>
        <w:sectPr>
          <w:headerReference r:id="rId9" w:type="default"/>
          <w:footerReference r:id="rId10" w:type="default"/>
          <w:type w:val="continuous"/>
          <w:pgSz w:w="11907" w:h="16840"/>
          <w:pgMar w:top="1701" w:right="1701" w:bottom="1701" w:left="1701" w:header="1134" w:footer="1021" w:gutter="0"/>
          <w:pgNumType w:fmt="decimal"/>
          <w:cols w:space="720" w:num="1"/>
          <w:docGrid w:linePitch="271" w:charSpace="0"/>
        </w:sectPr>
      </w:pPr>
    </w:p>
    <w:p w14:paraId="0B04AFDE">
      <w:pPr>
        <w:pStyle w:val="2"/>
        <w:adjustRightInd w:val="0"/>
        <w:snapToGrid w:val="0"/>
        <w:spacing w:before="312" w:beforeLines="100" w:after="312" w:afterLines="100" w:line="360" w:lineRule="auto"/>
        <w:jc w:val="left"/>
        <w:rPr>
          <w:rFonts w:hint="eastAsia" w:ascii="黑体" w:eastAsia="黑体"/>
          <w:b w:val="0"/>
          <w:sz w:val="32"/>
          <w:szCs w:val="32"/>
          <w:lang w:val="en-US" w:eastAsia="zh-CN"/>
        </w:rPr>
        <w:sectPr>
          <w:footerReference r:id="rId11" w:type="default"/>
          <w:pgSz w:w="11907" w:h="16840"/>
          <w:pgMar w:top="1701" w:right="1701" w:bottom="1701" w:left="1701" w:header="1134" w:footer="1021" w:gutter="0"/>
          <w:pgNumType w:fmt="decimal" w:start="1"/>
          <w:cols w:space="720" w:num="1"/>
          <w:docGrid w:linePitch="271" w:charSpace="0"/>
        </w:sectPr>
      </w:pPr>
      <w:bookmarkStart w:id="0" w:name="_Toc32388"/>
      <w:bookmarkStart w:id="1" w:name="_Toc26636"/>
      <w:bookmarkStart w:id="2" w:name="_Toc8694"/>
    </w:p>
    <w:p w14:paraId="11D43197">
      <w:pPr>
        <w:pStyle w:val="2"/>
        <w:adjustRightInd w:val="0"/>
        <w:snapToGrid w:val="0"/>
        <w:spacing w:before="312" w:beforeLines="100" w:after="312" w:afterLines="100" w:line="360" w:lineRule="auto"/>
        <w:jc w:val="left"/>
        <w:rPr>
          <w:rFonts w:ascii="黑体" w:eastAsia="黑体"/>
          <w:b w:val="0"/>
          <w:sz w:val="32"/>
          <w:szCs w:val="32"/>
        </w:rPr>
      </w:pPr>
      <w:r>
        <w:rPr>
          <w:rFonts w:hint="eastAsia" w:ascii="黑体" w:eastAsia="黑体"/>
          <w:b w:val="0"/>
          <w:sz w:val="32"/>
          <w:szCs w:val="32"/>
          <w:lang w:val="en-US" w:eastAsia="zh-CN"/>
        </w:rPr>
        <w:t>一、</w:t>
      </w:r>
      <w:r>
        <w:rPr>
          <w:rFonts w:hint="eastAsia" w:ascii="黑体" w:eastAsia="黑体"/>
          <w:b w:val="0"/>
          <w:sz w:val="32"/>
          <w:szCs w:val="32"/>
        </w:rPr>
        <w:t>基准地价主要成果</w:t>
      </w:r>
      <w:bookmarkEnd w:id="0"/>
      <w:bookmarkEnd w:id="1"/>
      <w:bookmarkEnd w:id="2"/>
    </w:p>
    <w:p w14:paraId="452C926B">
      <w:pPr>
        <w:ind w:firstLine="602" w:firstLineChars="200"/>
        <w:outlineLvl w:val="1"/>
        <w:rPr>
          <w:rFonts w:hint="eastAsia" w:ascii="仿宋" w:hAnsi="仿宋" w:eastAsia="仿宋" w:cs="仿宋"/>
          <w:b/>
          <w:bCs/>
          <w:sz w:val="30"/>
          <w:szCs w:val="30"/>
        </w:rPr>
      </w:pPr>
      <w:bookmarkStart w:id="3" w:name="_Toc48"/>
      <w:bookmarkStart w:id="4" w:name="_Toc23306"/>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）五原县巴彦套海镇</w:t>
      </w:r>
      <w:r>
        <w:rPr>
          <w:rFonts w:hint="eastAsia" w:ascii="仿宋" w:hAnsi="仿宋" w:eastAsia="仿宋" w:cs="仿宋"/>
          <w:b/>
          <w:bCs/>
          <w:sz w:val="30"/>
          <w:szCs w:val="30"/>
        </w:rPr>
        <w:t>土地定级成果</w:t>
      </w:r>
      <w:bookmarkEnd w:id="3"/>
      <w:bookmarkEnd w:id="4"/>
    </w:p>
    <w:p w14:paraId="26F40899">
      <w:pPr>
        <w:rPr>
          <w:rFonts w:hint="eastAsia" w:ascii="仿宋" w:hAnsi="仿宋" w:eastAsia="仿宋" w:cs="仿宋"/>
        </w:rPr>
      </w:pPr>
    </w:p>
    <w:p w14:paraId="487A0151">
      <w:pPr>
        <w:adjustRightInd w:val="0"/>
        <w:snapToGrid w:val="0"/>
        <w:spacing w:line="360" w:lineRule="auto"/>
        <w:ind w:firstLine="560" w:firstLineChars="200"/>
        <w:jc w:val="both"/>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城镇土地定级是根据城镇土地的经济、自然两方面属性及其在社会经济活动中的地位、作用，对城镇土地使用价值进行综合分析，揭示城镇内部土地质量的地域差异，评定城镇土地级别。土地定级指标体系建立的实质是进行土地定级因素因子的选择及其权重的确定，它是土地定级的一项基础工作。土地定级因素因子选择及权重的确定合理与否，直接关系到整个土地定级成果客观、实用与否。</w:t>
      </w:r>
    </w:p>
    <w:p w14:paraId="02771EA6">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b w:val="0"/>
          <w:bCs w:val="0"/>
          <w:sz w:val="28"/>
          <w:szCs w:val="28"/>
          <w:lang w:val="en-US" w:eastAsia="zh-CN"/>
        </w:rPr>
        <w:t>根据《城镇土地分等定级规程》（GB/T18507-2014）和《城镇土地估价规程》（GB/T18508-2014）的要求：土地定级估价的对象是《五原县巴彦套海镇国土空间规划(2021-2035年)》确定的可作为城镇建设用地使用的土地。城镇以外的独立工矿区、旅游区等用地可一同参与评定。根据《五原县巴彦套海镇国土空间规划(2021-2035年)》，并参考《巴彦套海镇三区三线成果》综合确定巴彦套海镇评估范围，结合五原县巴彦套海镇现状及规划特点，确定本次巴彦套海镇土地定级与基准地价更新评估总面积257.71公顷。</w:t>
      </w:r>
      <w:r>
        <w:rPr>
          <w:rFonts w:hint="default" w:ascii="Times New Roman" w:hAnsi="Times New Roman" w:eastAsia="仿宋" w:cs="Times New Roman"/>
          <w:sz w:val="28"/>
          <w:szCs w:val="28"/>
        </w:rPr>
        <w:t>全镇土地按</w:t>
      </w:r>
      <w:r>
        <w:rPr>
          <w:rFonts w:hint="default" w:ascii="Times New Roman" w:hAnsi="Times New Roman" w:eastAsia="仿宋" w:cs="Times New Roman"/>
          <w:sz w:val="28"/>
          <w:szCs w:val="28"/>
          <w:lang w:eastAsia="zh-CN"/>
        </w:rPr>
        <w:t>商业服务业、居住、</w:t>
      </w:r>
      <w:r>
        <w:rPr>
          <w:rFonts w:hint="default" w:ascii="Times New Roman" w:hAnsi="Times New Roman" w:eastAsia="仿宋" w:cs="Times New Roman"/>
          <w:sz w:val="28"/>
          <w:szCs w:val="28"/>
          <w:lang w:val="en-US" w:eastAsia="zh-CN"/>
        </w:rPr>
        <w:t>工矿</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公共管理与公共服务用地、公用设施</w:t>
      </w:r>
      <w:r>
        <w:rPr>
          <w:rFonts w:hint="default" w:ascii="Times New Roman" w:hAnsi="Times New Roman" w:eastAsia="仿宋" w:cs="Times New Roman"/>
          <w:sz w:val="28"/>
          <w:szCs w:val="28"/>
        </w:rPr>
        <w:t>用地</w:t>
      </w:r>
      <w:r>
        <w:rPr>
          <w:rFonts w:hint="default" w:ascii="Times New Roman" w:hAnsi="Times New Roman" w:eastAsia="仿宋" w:cs="Times New Roman"/>
          <w:sz w:val="28"/>
          <w:szCs w:val="28"/>
          <w:lang w:val="en-US" w:eastAsia="zh-CN"/>
        </w:rPr>
        <w:t>五</w:t>
      </w:r>
      <w:r>
        <w:rPr>
          <w:rFonts w:hint="default" w:ascii="Times New Roman" w:hAnsi="Times New Roman" w:eastAsia="仿宋" w:cs="Times New Roman"/>
          <w:sz w:val="28"/>
          <w:szCs w:val="28"/>
        </w:rPr>
        <w:t>个类别进行划分。边界说明如下：</w:t>
      </w:r>
    </w:p>
    <w:p w14:paraId="34E60E3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bookmarkStart w:id="5" w:name="_Toc30389"/>
      <w:r>
        <w:rPr>
          <w:rFonts w:hint="default" w:ascii="Times New Roman" w:hAnsi="Times New Roman" w:eastAsia="仿宋" w:cs="Times New Roman"/>
          <w:b w:val="0"/>
          <w:bCs w:val="0"/>
          <w:kern w:val="2"/>
          <w:sz w:val="28"/>
          <w:szCs w:val="28"/>
          <w:lang w:val="en-US" w:eastAsia="zh-CN" w:bidi="ar-SA"/>
        </w:rPr>
        <w:t>1、</w:t>
      </w:r>
      <w:r>
        <w:rPr>
          <w:rFonts w:hint="default" w:ascii="Times New Roman" w:hAnsi="Times New Roman" w:eastAsia="仿宋" w:cs="Times New Roman"/>
          <w:b w:val="0"/>
          <w:bCs w:val="0"/>
          <w:kern w:val="2"/>
          <w:sz w:val="28"/>
          <w:szCs w:val="28"/>
          <w:highlight w:val="none"/>
          <w:lang w:val="en-US" w:eastAsia="zh-CN" w:bidi="ar-SA"/>
        </w:rPr>
        <w:t>商业服务业用地边界说明</w:t>
      </w:r>
    </w:p>
    <w:p w14:paraId="3902B9A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具体定级范围描述如下：</w:t>
      </w:r>
    </w:p>
    <w:p w14:paraId="61F127AA">
      <w:pPr>
        <w:keepNext w:val="0"/>
        <w:keepLines w:val="0"/>
        <w:pageBreakBefore w:val="0"/>
        <w:widowControl w:val="0"/>
        <w:tabs>
          <w:tab w:val="left" w:pos="8400"/>
        </w:tabs>
        <w:kinsoku/>
        <w:wordWrap/>
        <w:overflow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Ⅰ级商业服务业用地土地总面积33.83公顷。</w:t>
      </w:r>
    </w:p>
    <w:p w14:paraId="03B8A2BE">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caps w:val="0"/>
          <w:smallCaps w:val="0"/>
          <w:sz w:val="28"/>
          <w:szCs w:val="28"/>
          <w:highlight w:val="none"/>
        </w:rPr>
        <w:t>北至</w:t>
      </w:r>
      <w:r>
        <w:rPr>
          <w:rFonts w:hint="default" w:ascii="Times New Roman" w:hAnsi="Times New Roman" w:eastAsia="仿宋" w:cs="Times New Roman"/>
          <w:b w:val="0"/>
          <w:bCs w:val="0"/>
          <w:caps w:val="0"/>
          <w:smallCaps w:val="0"/>
          <w:sz w:val="28"/>
          <w:szCs w:val="28"/>
          <w:highlight w:val="none"/>
          <w:lang w:val="en-US" w:eastAsia="zh-CN"/>
        </w:rPr>
        <w:t>省道212</w:t>
      </w:r>
      <w:r>
        <w:rPr>
          <w:rFonts w:hint="default" w:ascii="Times New Roman" w:hAnsi="Times New Roman" w:eastAsia="仿宋" w:cs="Times New Roman"/>
          <w:b w:val="0"/>
          <w:bCs w:val="0"/>
          <w:caps w:val="0"/>
          <w:smallCaps w:val="0"/>
          <w:sz w:val="28"/>
          <w:szCs w:val="28"/>
          <w:highlight w:val="none"/>
        </w:rPr>
        <w:t>，南至</w:t>
      </w:r>
      <w:r>
        <w:rPr>
          <w:rFonts w:hint="default" w:ascii="Times New Roman" w:hAnsi="Times New Roman" w:eastAsia="仿宋" w:cs="Times New Roman"/>
          <w:b w:val="0"/>
          <w:bCs w:val="0"/>
          <w:caps w:val="0"/>
          <w:smallCaps w:val="0"/>
          <w:sz w:val="28"/>
          <w:szCs w:val="28"/>
          <w:highlight w:val="none"/>
          <w:lang w:val="en-US" w:eastAsia="zh-CN"/>
        </w:rPr>
        <w:t>定级边界</w:t>
      </w:r>
      <w:r>
        <w:rPr>
          <w:rFonts w:hint="default" w:ascii="Times New Roman" w:hAnsi="Times New Roman" w:eastAsia="仿宋" w:cs="Times New Roman"/>
          <w:b w:val="0"/>
          <w:bCs w:val="0"/>
          <w:caps w:val="0"/>
          <w:smallCaps w:val="0"/>
          <w:sz w:val="28"/>
          <w:szCs w:val="28"/>
          <w:highlight w:val="none"/>
        </w:rPr>
        <w:t>，西至</w:t>
      </w:r>
      <w:r>
        <w:rPr>
          <w:rFonts w:hint="default" w:ascii="Times New Roman" w:hAnsi="Times New Roman" w:eastAsia="仿宋" w:cs="Times New Roman"/>
          <w:b w:val="0"/>
          <w:bCs w:val="0"/>
          <w:caps w:val="0"/>
          <w:smallCaps w:val="0"/>
          <w:sz w:val="28"/>
          <w:szCs w:val="28"/>
          <w:highlight w:val="none"/>
          <w:lang w:val="en-US" w:eastAsia="zh-CN"/>
        </w:rPr>
        <w:t>主街</w:t>
      </w:r>
      <w:r>
        <w:rPr>
          <w:rFonts w:hint="default" w:ascii="Times New Roman" w:hAnsi="Times New Roman" w:eastAsia="仿宋" w:cs="Times New Roman"/>
          <w:b w:val="0"/>
          <w:bCs w:val="0"/>
          <w:caps w:val="0"/>
          <w:smallCaps w:val="0"/>
          <w:sz w:val="28"/>
          <w:szCs w:val="28"/>
          <w:highlight w:val="none"/>
        </w:rPr>
        <w:t>，东至</w:t>
      </w:r>
      <w:r>
        <w:rPr>
          <w:rFonts w:hint="default" w:ascii="Times New Roman" w:hAnsi="Times New Roman" w:eastAsia="仿宋" w:cs="Times New Roman"/>
          <w:b w:val="0"/>
          <w:bCs w:val="0"/>
          <w:caps w:val="0"/>
          <w:smallCaps w:val="0"/>
          <w:sz w:val="28"/>
          <w:szCs w:val="28"/>
          <w:highlight w:val="none"/>
          <w:lang w:val="en-US" w:eastAsia="zh-CN"/>
        </w:rPr>
        <w:t>五原县第六中学以东</w:t>
      </w:r>
      <w:r>
        <w:rPr>
          <w:rFonts w:hint="default" w:ascii="Times New Roman" w:hAnsi="Times New Roman" w:eastAsia="仿宋" w:cs="Times New Roman"/>
          <w:b w:val="0"/>
          <w:bCs w:val="0"/>
          <w:caps w:val="0"/>
          <w:smallCaps w:val="0"/>
          <w:sz w:val="28"/>
          <w:szCs w:val="28"/>
          <w:highlight w:val="none"/>
        </w:rPr>
        <w:t>。</w:t>
      </w:r>
      <w:r>
        <w:rPr>
          <w:rFonts w:hint="default" w:ascii="Times New Roman" w:hAnsi="Times New Roman" w:eastAsia="仿宋" w:cs="Times New Roman"/>
          <w:b w:val="0"/>
          <w:bCs w:val="0"/>
          <w:sz w:val="28"/>
          <w:szCs w:val="28"/>
          <w:lang w:val="en-US" w:eastAsia="zh-CN"/>
        </w:rPr>
        <w:t>该区域集中着最主要的商业建筑，该地段的商服繁华程度、土地利用集约状况、基础设施、交通条件等方面都是最优的，是的黄金商业地段。</w:t>
      </w:r>
    </w:p>
    <w:p w14:paraId="45B950E3">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Ⅱ级商业服务业用地土地总面积72.59公顷。</w:t>
      </w:r>
    </w:p>
    <w:p w14:paraId="3AAE17E6">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sz w:val="28"/>
          <w:szCs w:val="28"/>
          <w:lang w:val="en-US" w:eastAsia="zh-CN"/>
        </w:rPr>
      </w:pPr>
      <w:r>
        <w:rPr>
          <w:rFonts w:hint="default" w:ascii="Times New Roman" w:hAnsi="Times New Roman" w:eastAsia="仿宋" w:cs="Times New Roman"/>
          <w:b w:val="0"/>
          <w:bCs w:val="0"/>
          <w:caps w:val="0"/>
          <w:smallCaps w:val="0"/>
          <w:sz w:val="28"/>
          <w:szCs w:val="28"/>
          <w:highlight w:val="none"/>
        </w:rPr>
        <w:t>北至</w:t>
      </w:r>
      <w:r>
        <w:rPr>
          <w:rFonts w:hint="default" w:ascii="Times New Roman" w:hAnsi="Times New Roman" w:eastAsia="仿宋" w:cs="Times New Roman"/>
          <w:b w:val="0"/>
          <w:bCs w:val="0"/>
          <w:caps w:val="0"/>
          <w:smallCaps w:val="0"/>
          <w:sz w:val="28"/>
          <w:szCs w:val="28"/>
          <w:highlight w:val="none"/>
          <w:lang w:val="en-US" w:eastAsia="zh-CN"/>
        </w:rPr>
        <w:t>五原县瑞峰小学以北</w:t>
      </w:r>
      <w:r>
        <w:rPr>
          <w:rFonts w:hint="default" w:ascii="Times New Roman" w:hAnsi="Times New Roman" w:eastAsia="仿宋" w:cs="Times New Roman"/>
          <w:b w:val="0"/>
          <w:bCs w:val="0"/>
          <w:caps w:val="0"/>
          <w:smallCaps w:val="0"/>
          <w:sz w:val="28"/>
          <w:szCs w:val="28"/>
          <w:highlight w:val="none"/>
        </w:rPr>
        <w:t>，南至</w:t>
      </w:r>
      <w:r>
        <w:rPr>
          <w:rFonts w:hint="default" w:ascii="Times New Roman" w:hAnsi="Times New Roman" w:eastAsia="仿宋" w:cs="Times New Roman"/>
          <w:b w:val="0"/>
          <w:bCs w:val="0"/>
          <w:caps w:val="0"/>
          <w:smallCaps w:val="0"/>
          <w:sz w:val="28"/>
          <w:szCs w:val="28"/>
          <w:highlight w:val="none"/>
          <w:lang w:val="en-US" w:eastAsia="zh-CN"/>
        </w:rPr>
        <w:t>定级边界</w:t>
      </w:r>
      <w:r>
        <w:rPr>
          <w:rFonts w:hint="default" w:ascii="Times New Roman" w:hAnsi="Times New Roman" w:eastAsia="仿宋" w:cs="Times New Roman"/>
          <w:b w:val="0"/>
          <w:bCs w:val="0"/>
          <w:caps w:val="0"/>
          <w:smallCaps w:val="0"/>
          <w:sz w:val="28"/>
          <w:szCs w:val="28"/>
          <w:highlight w:val="none"/>
        </w:rPr>
        <w:t>，西至</w:t>
      </w:r>
      <w:r>
        <w:rPr>
          <w:rFonts w:hint="default" w:ascii="Times New Roman" w:hAnsi="Times New Roman" w:eastAsia="仿宋" w:cs="Times New Roman"/>
          <w:b w:val="0"/>
          <w:bCs w:val="0"/>
          <w:caps w:val="0"/>
          <w:smallCaps w:val="0"/>
          <w:sz w:val="28"/>
          <w:szCs w:val="28"/>
          <w:highlight w:val="none"/>
          <w:lang w:val="en-US" w:eastAsia="zh-CN"/>
        </w:rPr>
        <w:t>汽车站往西530米</w:t>
      </w:r>
      <w:r>
        <w:rPr>
          <w:rFonts w:hint="default" w:ascii="Times New Roman" w:hAnsi="Times New Roman" w:eastAsia="仿宋" w:cs="Times New Roman"/>
          <w:b w:val="0"/>
          <w:bCs w:val="0"/>
          <w:caps w:val="0"/>
          <w:smallCaps w:val="0"/>
          <w:sz w:val="28"/>
          <w:szCs w:val="28"/>
          <w:highlight w:val="none"/>
        </w:rPr>
        <w:t>，东至</w:t>
      </w:r>
      <w:r>
        <w:rPr>
          <w:rFonts w:hint="default" w:ascii="Times New Roman" w:hAnsi="Times New Roman" w:eastAsia="仿宋" w:cs="Times New Roman"/>
          <w:b w:val="0"/>
          <w:bCs w:val="0"/>
          <w:caps w:val="0"/>
          <w:smallCaps w:val="0"/>
          <w:sz w:val="28"/>
          <w:szCs w:val="28"/>
          <w:highlight w:val="none"/>
          <w:lang w:val="en-US" w:eastAsia="zh-CN"/>
        </w:rPr>
        <w:t>五原县第六中学以东138米</w:t>
      </w:r>
      <w:r>
        <w:rPr>
          <w:rFonts w:hint="default" w:ascii="Times New Roman" w:hAnsi="Times New Roman" w:eastAsia="仿宋" w:cs="Times New Roman"/>
          <w:b w:val="0"/>
          <w:bCs w:val="0"/>
          <w:caps w:val="0"/>
          <w:smallCaps w:val="0"/>
          <w:sz w:val="28"/>
          <w:szCs w:val="28"/>
          <w:highlight w:val="none"/>
        </w:rPr>
        <w:t>。</w:t>
      </w:r>
      <w:r>
        <w:rPr>
          <w:rFonts w:hint="default" w:ascii="Times New Roman" w:hAnsi="Times New Roman" w:eastAsia="仿宋" w:cs="Times New Roman"/>
          <w:b w:val="0"/>
          <w:bCs w:val="0"/>
          <w:sz w:val="28"/>
          <w:szCs w:val="28"/>
          <w:lang w:val="en-US" w:eastAsia="zh-CN"/>
        </w:rPr>
        <w:t>该区域集中着次要的商业建筑，该地段的商服繁华程度、土地利用集约状况、基础设施、交通条件等方面都是较优的，是的一般商业地段。</w:t>
      </w:r>
    </w:p>
    <w:p w14:paraId="3570F883">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left="0" w:leftChars="0"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Ⅲ级商业服务业用地土地总面积151.29公顷。</w:t>
      </w:r>
    </w:p>
    <w:p w14:paraId="549D2603">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sz w:val="24"/>
          <w:szCs w:val="24"/>
          <w:lang w:eastAsia="zh-CN"/>
        </w:rPr>
      </w:pPr>
      <w:r>
        <w:rPr>
          <w:rFonts w:hint="default" w:ascii="Times New Roman" w:hAnsi="Times New Roman" w:eastAsia="仿宋" w:cs="Times New Roman"/>
          <w:b w:val="0"/>
          <w:bCs w:val="0"/>
          <w:caps w:val="0"/>
          <w:smallCaps w:val="0"/>
          <w:kern w:val="2"/>
          <w:sz w:val="28"/>
          <w:szCs w:val="28"/>
          <w:highlight w:val="none"/>
          <w:lang w:val="en-US" w:eastAsia="zh-CN" w:bidi="ar-SA"/>
        </w:rPr>
        <w:t>沿Ⅱ级用地向北、南、西、东四个方向扩展。</w:t>
      </w:r>
      <w:r>
        <w:rPr>
          <w:rFonts w:hint="default" w:ascii="Times New Roman" w:hAnsi="Times New Roman" w:eastAsia="仿宋" w:cs="Times New Roman"/>
          <w:b w:val="0"/>
          <w:bCs w:val="0"/>
          <w:sz w:val="28"/>
          <w:szCs w:val="28"/>
          <w:lang w:val="en-US" w:eastAsia="zh-CN"/>
        </w:rPr>
        <w:t>该区域商服繁华程度、道路通达度、对外交通便利度以及基础设施完</w:t>
      </w:r>
      <w:r>
        <w:rPr>
          <w:rFonts w:hint="default" w:ascii="Times New Roman" w:hAnsi="Times New Roman" w:eastAsia="仿宋" w:cs="Times New Roman"/>
          <w:b w:val="0"/>
          <w:bCs w:val="0"/>
          <w:kern w:val="2"/>
          <w:sz w:val="28"/>
          <w:szCs w:val="28"/>
          <w:highlight w:val="none"/>
          <w:lang w:val="en-US" w:eastAsia="zh-CN" w:bidi="ar-SA"/>
        </w:rPr>
        <w:t>善度相对I、II级来说水平相对较低。</w:t>
      </w:r>
    </w:p>
    <w:p w14:paraId="099AB9AC">
      <w:pPr>
        <w:pStyle w:val="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_GB2312" w:cs="Times New Roman"/>
          <w:b/>
          <w:sz w:val="24"/>
          <w:szCs w:val="24"/>
          <w:lang w:eastAsia="zh-CN"/>
        </w:rPr>
      </w:pPr>
      <w:r>
        <w:rPr>
          <w:rFonts w:hint="default" w:ascii="Times New Roman" w:hAnsi="Times New Roman" w:eastAsia="仿宋_GB2312" w:cs="Times New Roman"/>
          <w:b/>
          <w:sz w:val="24"/>
          <w:szCs w:val="24"/>
          <w:lang w:eastAsia="zh-CN"/>
        </w:rPr>
        <w:drawing>
          <wp:inline distT="0" distB="0" distL="114300" distR="114300">
            <wp:extent cx="5391785" cy="3327400"/>
            <wp:effectExtent l="9525" t="9525" r="27940" b="15875"/>
            <wp:docPr id="2" name="图片 2" descr="2025150821JSY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5150821JSYJB"/>
                    <pic:cNvPicPr>
                      <a:picLocks noChangeAspect="1"/>
                    </pic:cNvPicPr>
                  </pic:nvPicPr>
                  <pic:blipFill>
                    <a:blip r:embed="rId18"/>
                    <a:stretch>
                      <a:fillRect/>
                    </a:stretch>
                  </pic:blipFill>
                  <pic:spPr>
                    <a:xfrm>
                      <a:off x="0" y="0"/>
                      <a:ext cx="5391785" cy="3327400"/>
                    </a:xfrm>
                    <a:prstGeom prst="rect">
                      <a:avLst/>
                    </a:prstGeom>
                    <a:ln>
                      <a:solidFill>
                        <a:schemeClr val="tx1"/>
                      </a:solidFill>
                    </a:ln>
                  </pic:spPr>
                </pic:pic>
              </a:graphicData>
            </a:graphic>
          </wp:inline>
        </w:drawing>
      </w:r>
    </w:p>
    <w:p w14:paraId="16A873A5">
      <w:pPr>
        <w:pStyle w:val="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b/>
          <w:sz w:val="24"/>
          <w:szCs w:val="24"/>
          <w:lang w:val="en-US" w:eastAsia="zh-CN"/>
        </w:r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sz w:val="24"/>
          <w:szCs w:val="24"/>
        </w:rPr>
        <w:t>图</w:t>
      </w:r>
      <w:r>
        <w:rPr>
          <w:rFonts w:hint="default" w:ascii="Times New Roman" w:hAnsi="Times New Roman" w:eastAsia="仿宋" w:cs="Times New Roman"/>
          <w:b/>
          <w:sz w:val="24"/>
          <w:szCs w:val="24"/>
          <w:lang w:val="en-US" w:eastAsia="zh-CN"/>
        </w:rPr>
        <w:t>1</w:t>
      </w:r>
      <w:r>
        <w:rPr>
          <w:rFonts w:hint="default" w:ascii="Times New Roman" w:hAnsi="Times New Roman" w:eastAsia="仿宋" w:cs="Times New Roman"/>
          <w:b/>
          <w:sz w:val="24"/>
          <w:szCs w:val="24"/>
        </w:rPr>
        <w:t>-</w:t>
      </w:r>
      <w:r>
        <w:rPr>
          <w:rFonts w:hint="default" w:ascii="Times New Roman" w:hAnsi="Times New Roman" w:eastAsia="仿宋" w:cs="Times New Roman"/>
          <w:b/>
          <w:sz w:val="24"/>
          <w:szCs w:val="24"/>
          <w:lang w:val="en-US" w:eastAsia="zh-CN"/>
        </w:rPr>
        <w:t>1   五原县巴彦套海镇商业服务业用地级别图</w:t>
      </w:r>
    </w:p>
    <w:p w14:paraId="33109829">
      <w:pPr>
        <w:keepNext w:val="0"/>
        <w:keepLines w:val="0"/>
        <w:pageBreakBefore w:val="0"/>
        <w:widowControl w:val="0"/>
        <w:kinsoku/>
        <w:wordWrap/>
        <w:overflowPunct/>
        <w:topLinePunct w:val="0"/>
        <w:autoSpaceDE/>
        <w:autoSpaceDN/>
        <w:bidi w:val="0"/>
        <w:adjustRightInd w:val="0"/>
        <w:snapToGrid w:val="0"/>
        <w:spacing w:before="136" w:beforeLines="50" w:line="360" w:lineRule="auto"/>
        <w:ind w:firstLine="0" w:firstLineChars="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val="0"/>
          <w:bCs w:val="0"/>
          <w:kern w:val="2"/>
          <w:sz w:val="28"/>
          <w:szCs w:val="28"/>
          <w:lang w:val="en-US" w:eastAsia="zh-CN" w:bidi="ar-SA"/>
        </w:rPr>
        <w:t>2、居住用地边界说明</w:t>
      </w:r>
    </w:p>
    <w:p w14:paraId="6721A7D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具体定级范围描述如下：</w:t>
      </w:r>
    </w:p>
    <w:p w14:paraId="11CF9440">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Ⅰ级居住用地土地总面积106.42公顷。</w:t>
      </w:r>
    </w:p>
    <w:p w14:paraId="6CD4AC6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北至定级边界，南至定级边界，西至</w:t>
      </w:r>
      <w:r>
        <w:rPr>
          <w:rFonts w:hint="default" w:ascii="Times New Roman" w:hAnsi="Times New Roman" w:eastAsia="仿宋" w:cs="Times New Roman"/>
          <w:b w:val="0"/>
          <w:bCs w:val="0"/>
          <w:caps w:val="0"/>
          <w:smallCaps w:val="0"/>
          <w:sz w:val="28"/>
          <w:szCs w:val="28"/>
          <w:highlight w:val="none"/>
          <w:lang w:val="en-US" w:eastAsia="zh-CN"/>
        </w:rPr>
        <w:t>汽车站往西530米</w:t>
      </w:r>
      <w:r>
        <w:rPr>
          <w:rFonts w:hint="default" w:ascii="Times New Roman" w:hAnsi="Times New Roman" w:eastAsia="仿宋" w:cs="Times New Roman"/>
          <w:b w:val="0"/>
          <w:bCs w:val="0"/>
          <w:caps w:val="0"/>
          <w:smallCaps w:val="0"/>
          <w:kern w:val="2"/>
          <w:sz w:val="28"/>
          <w:szCs w:val="28"/>
          <w:highlight w:val="none"/>
          <w:lang w:val="en-US" w:eastAsia="zh-CN" w:bidi="ar-SA"/>
        </w:rPr>
        <w:t>，东至</w:t>
      </w:r>
      <w:r>
        <w:rPr>
          <w:rFonts w:hint="default" w:ascii="Times New Roman" w:hAnsi="Times New Roman" w:eastAsia="仿宋" w:cs="Times New Roman"/>
          <w:b w:val="0"/>
          <w:bCs w:val="0"/>
          <w:caps w:val="0"/>
          <w:smallCaps w:val="0"/>
          <w:sz w:val="28"/>
          <w:szCs w:val="28"/>
          <w:highlight w:val="none"/>
          <w:lang w:val="en-US" w:eastAsia="zh-CN"/>
        </w:rPr>
        <w:t>五原县第六中学以东138米</w:t>
      </w:r>
      <w:r>
        <w:rPr>
          <w:rFonts w:hint="default" w:ascii="Times New Roman" w:hAnsi="Times New Roman" w:eastAsia="仿宋" w:cs="Times New Roman"/>
          <w:b w:val="0"/>
          <w:bCs w:val="0"/>
          <w:caps w:val="0"/>
          <w:smallCaps w:val="0"/>
          <w:kern w:val="2"/>
          <w:sz w:val="28"/>
          <w:szCs w:val="28"/>
          <w:highlight w:val="none"/>
          <w:lang w:val="en-US" w:eastAsia="zh-CN" w:bidi="ar-SA"/>
        </w:rPr>
        <w:t>。</w:t>
      </w:r>
      <w:r>
        <w:rPr>
          <w:rFonts w:hint="default" w:ascii="Times New Roman" w:hAnsi="Times New Roman" w:eastAsia="仿宋" w:cs="Times New Roman"/>
          <w:b w:val="0"/>
          <w:bCs w:val="0"/>
          <w:kern w:val="2"/>
          <w:sz w:val="28"/>
          <w:szCs w:val="28"/>
          <w:lang w:val="en-US" w:eastAsia="zh-CN" w:bidi="ar-SA"/>
        </w:rPr>
        <w:t>该区域基础设施完善度和公用设施完备度最高，为居民生活提供有利条件；道路通达度好，对外交通便利，方便人们出行；环境质量高，绿地覆盖率大，是区位条件最好的居住区。</w:t>
      </w:r>
    </w:p>
    <w:p w14:paraId="32EF225E">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Ⅱ级居住用地土地总面积151.29公顷。</w:t>
      </w:r>
    </w:p>
    <w:p w14:paraId="7A864D0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沿Ⅰ级用地向北、西、东、南四个方向扩展。</w:t>
      </w:r>
      <w:r>
        <w:rPr>
          <w:rFonts w:hint="default" w:ascii="Times New Roman" w:hAnsi="Times New Roman" w:eastAsia="仿宋" w:cs="Times New Roman"/>
          <w:b w:val="0"/>
          <w:bCs w:val="0"/>
          <w:kern w:val="2"/>
          <w:sz w:val="28"/>
          <w:szCs w:val="28"/>
          <w:lang w:val="en-US" w:eastAsia="zh-CN" w:bidi="ar-SA"/>
        </w:rPr>
        <w:t>该区域基础设施完善度、公用设施完备度、道路通达度以及对外交通便利度等相对I级来说水平较低。</w:t>
      </w:r>
    </w:p>
    <w:p w14:paraId="79C96C48">
      <w:pPr>
        <w:adjustRightInd w:val="0"/>
        <w:snapToGrid w:val="0"/>
        <w:spacing w:line="240" w:lineRule="auto"/>
        <w:ind w:firstLine="0" w:firstLineChars="0"/>
        <w:jc w:val="center"/>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eastAsia="zh-CN"/>
        </w:rPr>
        <w:drawing>
          <wp:inline distT="0" distB="0" distL="114300" distR="114300">
            <wp:extent cx="5391785" cy="3327400"/>
            <wp:effectExtent l="9525" t="9525" r="27940" b="15875"/>
            <wp:docPr id="3" name="图片 3" descr="2025150821JZJ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5150821JZJJB"/>
                    <pic:cNvPicPr>
                      <a:picLocks noChangeAspect="1"/>
                    </pic:cNvPicPr>
                  </pic:nvPicPr>
                  <pic:blipFill>
                    <a:blip r:embed="rId19"/>
                    <a:stretch>
                      <a:fillRect/>
                    </a:stretch>
                  </pic:blipFill>
                  <pic:spPr>
                    <a:xfrm>
                      <a:off x="0" y="0"/>
                      <a:ext cx="5391785" cy="3327400"/>
                    </a:xfrm>
                    <a:prstGeom prst="rect">
                      <a:avLst/>
                    </a:prstGeom>
                    <a:ln>
                      <a:solidFill>
                        <a:schemeClr val="tx1"/>
                      </a:solidFill>
                    </a:ln>
                  </pic:spPr>
                </pic:pic>
              </a:graphicData>
            </a:graphic>
          </wp:inline>
        </w:drawing>
      </w:r>
    </w:p>
    <w:p w14:paraId="7F0F19CA">
      <w:pPr>
        <w:adjustRightInd w:val="0"/>
        <w:snapToGrid w:val="0"/>
        <w:spacing w:line="240" w:lineRule="auto"/>
        <w:ind w:firstLine="0" w:firstLineChars="0"/>
        <w:jc w:val="center"/>
        <w:rPr>
          <w:rFonts w:hint="default" w:ascii="Times New Roman" w:hAnsi="Times New Roman" w:eastAsia="仿宋" w:cs="Times New Roman"/>
          <w:b/>
          <w:sz w:val="24"/>
          <w:szCs w:val="24"/>
          <w:lang w:val="en-US" w:eastAsia="zh-CN"/>
        </w:r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sz w:val="24"/>
          <w:szCs w:val="24"/>
        </w:rPr>
        <w:t>图</w:t>
      </w:r>
      <w:r>
        <w:rPr>
          <w:rFonts w:hint="default" w:ascii="Times New Roman" w:hAnsi="Times New Roman" w:eastAsia="仿宋" w:cs="Times New Roman"/>
          <w:b/>
          <w:sz w:val="24"/>
          <w:szCs w:val="24"/>
          <w:lang w:val="en-US" w:eastAsia="zh-CN"/>
        </w:rPr>
        <w:t>1-2  五原县巴彦套海镇居住用地级别图</w:t>
      </w:r>
    </w:p>
    <w:p w14:paraId="68B66AF1">
      <w:pPr>
        <w:keepNext w:val="0"/>
        <w:keepLines w:val="0"/>
        <w:pageBreakBefore w:val="0"/>
        <w:widowControl w:val="0"/>
        <w:kinsoku/>
        <w:wordWrap/>
        <w:overflowPunct/>
        <w:topLinePunct w:val="0"/>
        <w:autoSpaceDE/>
        <w:autoSpaceDN/>
        <w:bidi w:val="0"/>
        <w:adjustRightInd w:val="0"/>
        <w:snapToGrid w:val="0"/>
        <w:spacing w:before="136" w:beforeLines="50" w:line="360" w:lineRule="auto"/>
        <w:ind w:firstLine="0" w:firstLineChars="0"/>
        <w:jc w:val="left"/>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sz w:val="24"/>
          <w:szCs w:val="24"/>
          <w:lang w:val="en-US" w:eastAsia="zh-CN"/>
        </w:rPr>
        <w:t xml:space="preserve"> </w:t>
      </w:r>
      <w:r>
        <w:rPr>
          <w:rFonts w:hint="default" w:ascii="Times New Roman" w:hAnsi="Times New Roman" w:eastAsia="仿宋" w:cs="Times New Roman"/>
          <w:b w:val="0"/>
          <w:bCs w:val="0"/>
          <w:kern w:val="2"/>
          <w:sz w:val="28"/>
          <w:szCs w:val="28"/>
          <w:lang w:val="en-US" w:eastAsia="zh-CN" w:bidi="ar-SA"/>
        </w:rPr>
        <w:t>3、工矿用地边界说明</w:t>
      </w:r>
    </w:p>
    <w:p w14:paraId="17068AC7">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bookmarkStart w:id="6" w:name="_Toc381600771"/>
      <w:bookmarkStart w:id="7" w:name="_Toc381600332"/>
      <w:bookmarkStart w:id="8" w:name="_Toc381600990"/>
      <w:r>
        <w:rPr>
          <w:rFonts w:hint="default" w:ascii="Times New Roman" w:hAnsi="Times New Roman" w:eastAsia="仿宋" w:cs="Times New Roman"/>
          <w:b w:val="0"/>
          <w:bCs w:val="0"/>
          <w:caps w:val="0"/>
          <w:smallCaps w:val="0"/>
          <w:kern w:val="2"/>
          <w:sz w:val="28"/>
          <w:szCs w:val="28"/>
          <w:highlight w:val="none"/>
          <w:lang w:val="en-US" w:eastAsia="zh-CN" w:bidi="ar-SA"/>
        </w:rPr>
        <w:t>Ⅰ级工矿用地土地总面积106.42公顷。</w:t>
      </w:r>
    </w:p>
    <w:p w14:paraId="4DC44C4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北至定级边界，南至定级边界，西至</w:t>
      </w:r>
      <w:r>
        <w:rPr>
          <w:rFonts w:hint="default" w:ascii="Times New Roman" w:hAnsi="Times New Roman" w:eastAsia="仿宋" w:cs="Times New Roman"/>
          <w:b w:val="0"/>
          <w:bCs w:val="0"/>
          <w:caps w:val="0"/>
          <w:smallCaps w:val="0"/>
          <w:sz w:val="28"/>
          <w:szCs w:val="28"/>
          <w:highlight w:val="none"/>
          <w:lang w:val="en-US" w:eastAsia="zh-CN"/>
        </w:rPr>
        <w:t>汽车站往西530米</w:t>
      </w:r>
      <w:r>
        <w:rPr>
          <w:rFonts w:hint="default" w:ascii="Times New Roman" w:hAnsi="Times New Roman" w:eastAsia="仿宋" w:cs="Times New Roman"/>
          <w:b w:val="0"/>
          <w:bCs w:val="0"/>
          <w:caps w:val="0"/>
          <w:smallCaps w:val="0"/>
          <w:kern w:val="2"/>
          <w:sz w:val="28"/>
          <w:szCs w:val="28"/>
          <w:highlight w:val="none"/>
          <w:lang w:val="en-US" w:eastAsia="zh-CN" w:bidi="ar-SA"/>
        </w:rPr>
        <w:t>，东至</w:t>
      </w:r>
      <w:r>
        <w:rPr>
          <w:rFonts w:hint="default" w:ascii="Times New Roman" w:hAnsi="Times New Roman" w:eastAsia="仿宋" w:cs="Times New Roman"/>
          <w:b w:val="0"/>
          <w:bCs w:val="0"/>
          <w:caps w:val="0"/>
          <w:smallCaps w:val="0"/>
          <w:sz w:val="28"/>
          <w:szCs w:val="28"/>
          <w:highlight w:val="none"/>
          <w:lang w:val="en-US" w:eastAsia="zh-CN"/>
        </w:rPr>
        <w:t>五原县第六中学以东138米</w:t>
      </w:r>
      <w:r>
        <w:rPr>
          <w:rFonts w:hint="default" w:ascii="Times New Roman" w:hAnsi="Times New Roman" w:eastAsia="仿宋" w:cs="Times New Roman"/>
          <w:b w:val="0"/>
          <w:bCs w:val="0"/>
          <w:caps w:val="0"/>
          <w:smallCaps w:val="0"/>
          <w:kern w:val="2"/>
          <w:sz w:val="28"/>
          <w:szCs w:val="28"/>
          <w:highlight w:val="none"/>
          <w:lang w:val="en-US" w:eastAsia="zh-CN" w:bidi="ar-SA"/>
        </w:rPr>
        <w:t>。</w:t>
      </w:r>
      <w:r>
        <w:rPr>
          <w:rFonts w:hint="default" w:ascii="Times New Roman" w:hAnsi="Times New Roman" w:eastAsia="仿宋" w:cs="Times New Roman"/>
          <w:b w:val="0"/>
          <w:bCs w:val="0"/>
          <w:kern w:val="2"/>
          <w:sz w:val="28"/>
          <w:szCs w:val="28"/>
          <w:lang w:val="en-US" w:eastAsia="zh-CN" w:bidi="ar-SA"/>
        </w:rPr>
        <w:t>该区域交通条件好，对外交通便利度高，运输方便。</w:t>
      </w:r>
    </w:p>
    <w:p w14:paraId="25ABB7FB">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Ⅱ级工矿用地土地总面积151.29公顷。</w:t>
      </w:r>
    </w:p>
    <w:p w14:paraId="138ECAE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沿Ⅰ级用地向北、西、东、南四个方向扩展。</w:t>
      </w:r>
      <w:r>
        <w:rPr>
          <w:rFonts w:hint="default" w:ascii="Times New Roman" w:hAnsi="Times New Roman" w:eastAsia="仿宋" w:cs="Times New Roman"/>
          <w:b w:val="0"/>
          <w:bCs w:val="0"/>
          <w:kern w:val="2"/>
          <w:sz w:val="28"/>
          <w:szCs w:val="28"/>
          <w:lang w:val="en-US" w:eastAsia="zh-CN" w:bidi="ar-SA"/>
        </w:rPr>
        <w:t>该区域工矿用地已形成规模。</w:t>
      </w:r>
    </w:p>
    <w:p w14:paraId="52AFABF0">
      <w:pPr>
        <w:adjustRightInd w:val="0"/>
        <w:snapToGrid w:val="0"/>
        <w:spacing w:line="240" w:lineRule="auto"/>
        <w:ind w:firstLine="0" w:firstLineChars="0"/>
        <w:jc w:val="center"/>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drawing>
          <wp:inline distT="0" distB="0" distL="114300" distR="114300">
            <wp:extent cx="5391785" cy="3327400"/>
            <wp:effectExtent l="9525" t="9525" r="27940" b="15875"/>
            <wp:docPr id="4" name="图片 4" descr="2025150821JGY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5150821JGYJB"/>
                    <pic:cNvPicPr>
                      <a:picLocks noChangeAspect="1"/>
                    </pic:cNvPicPr>
                  </pic:nvPicPr>
                  <pic:blipFill>
                    <a:blip r:embed="rId20"/>
                    <a:stretch>
                      <a:fillRect/>
                    </a:stretch>
                  </pic:blipFill>
                  <pic:spPr>
                    <a:xfrm>
                      <a:off x="0" y="0"/>
                      <a:ext cx="5391785" cy="3327400"/>
                    </a:xfrm>
                    <a:prstGeom prst="rect">
                      <a:avLst/>
                    </a:prstGeom>
                    <a:ln>
                      <a:solidFill>
                        <a:schemeClr val="tx1"/>
                      </a:solidFill>
                    </a:ln>
                  </pic:spPr>
                </pic:pic>
              </a:graphicData>
            </a:graphic>
          </wp:inline>
        </w:drawing>
      </w:r>
    </w:p>
    <w:p w14:paraId="2260F9BC">
      <w:pPr>
        <w:keepNext w:val="0"/>
        <w:keepLines w:val="0"/>
        <w:pageBreakBefore w:val="0"/>
        <w:widowControl/>
        <w:kinsoku/>
        <w:wordWrap/>
        <w:overflowPunct/>
        <w:topLinePunct w:val="0"/>
        <w:autoSpaceDE/>
        <w:autoSpaceDN/>
        <w:bidi w:val="0"/>
        <w:adjustRightInd w:val="0"/>
        <w:snapToGrid w:val="0"/>
        <w:spacing w:line="240" w:lineRule="auto"/>
        <w:ind w:firstLine="481" w:firstLineChars="0"/>
        <w:jc w:val="center"/>
        <w:textAlignment w:val="auto"/>
        <w:rPr>
          <w:rFonts w:hint="default" w:ascii="Times New Roman" w:hAnsi="Times New Roman" w:eastAsia="仿宋" w:cs="Times New Roman"/>
          <w:b/>
          <w:sz w:val="24"/>
          <w:szCs w:val="24"/>
          <w:lang w:val="en-US" w:eastAsia="zh-CN"/>
        </w:rPr>
      </w:pPr>
      <w:r>
        <w:rPr>
          <w:rFonts w:hint="default" w:ascii="Times New Roman" w:hAnsi="Times New Roman" w:eastAsia="仿宋" w:cs="Times New Roman"/>
          <w:b/>
          <w:sz w:val="24"/>
          <w:szCs w:val="24"/>
        </w:rPr>
        <w:t>图</w:t>
      </w:r>
      <w:r>
        <w:rPr>
          <w:rFonts w:hint="default" w:ascii="Times New Roman" w:hAnsi="Times New Roman" w:eastAsia="仿宋" w:cs="Times New Roman"/>
          <w:b/>
          <w:sz w:val="24"/>
          <w:szCs w:val="24"/>
          <w:lang w:val="en-US" w:eastAsia="zh-CN"/>
        </w:rPr>
        <w:t>1</w:t>
      </w:r>
      <w:r>
        <w:rPr>
          <w:rFonts w:hint="default" w:ascii="Times New Roman" w:hAnsi="Times New Roman" w:eastAsia="仿宋" w:cs="Times New Roman"/>
          <w:b/>
          <w:sz w:val="24"/>
          <w:szCs w:val="24"/>
        </w:rPr>
        <w:t>-</w:t>
      </w:r>
      <w:r>
        <w:rPr>
          <w:rFonts w:hint="default" w:ascii="Times New Roman" w:hAnsi="Times New Roman" w:eastAsia="仿宋" w:cs="Times New Roman"/>
          <w:b/>
          <w:sz w:val="24"/>
          <w:szCs w:val="24"/>
          <w:lang w:val="en-US" w:eastAsia="zh-CN"/>
        </w:rPr>
        <w:t>3   五原县巴彦套海镇工矿用地级别图</w:t>
      </w:r>
    </w:p>
    <w:p w14:paraId="79325531">
      <w:pPr>
        <w:keepNext w:val="0"/>
        <w:keepLines w:val="0"/>
        <w:pageBreakBefore w:val="0"/>
        <w:widowControl w:val="0"/>
        <w:kinsoku/>
        <w:wordWrap/>
        <w:overflowPunct/>
        <w:topLinePunct w:val="0"/>
        <w:autoSpaceDE/>
        <w:autoSpaceDN/>
        <w:bidi w:val="0"/>
        <w:adjustRightInd w:val="0"/>
        <w:snapToGrid w:val="0"/>
        <w:spacing w:before="136" w:beforeLines="50"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sz w:val="28"/>
          <w:szCs w:val="28"/>
          <w:lang w:val="en-US" w:eastAsia="zh-CN"/>
        </w:rPr>
        <w:t>4、</w:t>
      </w:r>
      <w:r>
        <w:rPr>
          <w:rFonts w:hint="default" w:ascii="Times New Roman" w:hAnsi="Times New Roman" w:eastAsia="仿宋" w:cs="Times New Roman"/>
          <w:sz w:val="28"/>
          <w:szCs w:val="28"/>
        </w:rPr>
        <w:t>公共管理与公共服务用地</w:t>
      </w:r>
      <w:r>
        <w:rPr>
          <w:rFonts w:hint="default" w:ascii="Times New Roman" w:hAnsi="Times New Roman" w:eastAsia="仿宋" w:cs="Times New Roman"/>
          <w:b w:val="0"/>
          <w:bCs w:val="0"/>
          <w:kern w:val="2"/>
          <w:sz w:val="28"/>
          <w:szCs w:val="28"/>
          <w:lang w:val="en-US" w:eastAsia="zh-CN" w:bidi="ar-SA"/>
        </w:rPr>
        <w:t>边界说明</w:t>
      </w:r>
    </w:p>
    <w:p w14:paraId="478C16E6">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default"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具体定级范围描述如下：</w:t>
      </w:r>
    </w:p>
    <w:p w14:paraId="6536B89F">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eastAsia" w:ascii="Times New Roman" w:hAnsi="Times New Roman" w:eastAsia="仿宋" w:cs="Times New Roman"/>
          <w:b w:val="0"/>
          <w:bCs w:val="0"/>
          <w:caps w:val="0"/>
          <w:smallCaps w:val="0"/>
          <w:kern w:val="2"/>
          <w:sz w:val="28"/>
          <w:szCs w:val="28"/>
          <w:highlight w:val="none"/>
          <w:lang w:val="en-US" w:eastAsia="zh-CN" w:bidi="ar-SA"/>
        </w:rPr>
      </w:pPr>
      <w:r>
        <w:rPr>
          <w:rFonts w:hint="eastAsia" w:ascii="Times New Roman" w:hAnsi="Times New Roman" w:eastAsia="仿宋" w:cs="Times New Roman"/>
          <w:b w:val="0"/>
          <w:bCs w:val="0"/>
          <w:caps w:val="0"/>
          <w:smallCaps w:val="0"/>
          <w:kern w:val="2"/>
          <w:sz w:val="28"/>
          <w:szCs w:val="28"/>
          <w:highlight w:val="none"/>
          <w:lang w:val="en-US" w:eastAsia="zh-CN" w:bidi="ar-SA"/>
        </w:rPr>
        <w:t>Ⅰ级公共管理与公共服务用地土地总面积115.34公顷。</w:t>
      </w:r>
    </w:p>
    <w:p w14:paraId="61E10C92">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eastAsia" w:ascii="Times New Roman" w:hAnsi="Times New Roman" w:eastAsia="仿宋" w:cs="Times New Roman"/>
          <w:b w:val="0"/>
          <w:bCs w:val="0"/>
          <w:caps w:val="0"/>
          <w:smallCaps w:val="0"/>
          <w:kern w:val="2"/>
          <w:sz w:val="28"/>
          <w:szCs w:val="28"/>
          <w:highlight w:val="none"/>
          <w:lang w:val="en-US" w:eastAsia="zh-CN" w:bidi="ar-SA"/>
        </w:rPr>
      </w:pPr>
      <w:r>
        <w:rPr>
          <w:rFonts w:hint="eastAsia" w:ascii="Times New Roman" w:hAnsi="Times New Roman" w:eastAsia="仿宋" w:cs="Times New Roman"/>
          <w:b w:val="0"/>
          <w:bCs w:val="0"/>
          <w:caps w:val="0"/>
          <w:smallCaps w:val="0"/>
          <w:kern w:val="2"/>
          <w:sz w:val="28"/>
          <w:szCs w:val="28"/>
          <w:highlight w:val="none"/>
          <w:lang w:val="en-US" w:eastAsia="zh-CN" w:bidi="ar-SA"/>
        </w:rPr>
        <w:t>北至定级边界，南至定级边界，西至汽车站往西530米，东至定级边界。</w:t>
      </w:r>
    </w:p>
    <w:p w14:paraId="23FAE990">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eastAsia" w:ascii="Times New Roman" w:hAnsi="Times New Roman" w:eastAsia="仿宋" w:cs="Times New Roman"/>
          <w:b w:val="0"/>
          <w:bCs w:val="0"/>
          <w:caps w:val="0"/>
          <w:smallCaps w:val="0"/>
          <w:kern w:val="2"/>
          <w:sz w:val="28"/>
          <w:szCs w:val="28"/>
          <w:highlight w:val="none"/>
          <w:lang w:val="en-US" w:eastAsia="zh-CN" w:bidi="ar-SA"/>
        </w:rPr>
      </w:pPr>
      <w:r>
        <w:rPr>
          <w:rFonts w:hint="eastAsia" w:ascii="Times New Roman" w:hAnsi="Times New Roman" w:eastAsia="仿宋" w:cs="Times New Roman"/>
          <w:b w:val="0"/>
          <w:bCs w:val="0"/>
          <w:caps w:val="0"/>
          <w:smallCaps w:val="0"/>
          <w:kern w:val="2"/>
          <w:sz w:val="28"/>
          <w:szCs w:val="28"/>
          <w:highlight w:val="none"/>
          <w:lang w:val="en-US" w:eastAsia="zh-CN" w:bidi="ar-SA"/>
        </w:rPr>
        <w:t>Ⅱ级公共管理与公共服务用地土地总面积142.36公顷。</w:t>
      </w:r>
    </w:p>
    <w:p w14:paraId="2A76B470">
      <w:pPr>
        <w:keepNext w:val="0"/>
        <w:keepLines w:val="0"/>
        <w:pageBreakBefore w:val="0"/>
        <w:widowControl w:val="0"/>
        <w:tabs>
          <w:tab w:val="left" w:pos="8400"/>
        </w:tabs>
        <w:kinsoku w:val="0"/>
        <w:wordWrap/>
        <w:overflowPunct w:val="0"/>
        <w:topLinePunct/>
        <w:autoSpaceDE/>
        <w:autoSpaceDN/>
        <w:bidi w:val="0"/>
        <w:adjustRightInd w:val="0"/>
        <w:snapToGrid w:val="0"/>
        <w:spacing w:line="360" w:lineRule="auto"/>
        <w:ind w:right="0" w:rightChars="0" w:firstLine="560" w:firstLineChars="200"/>
        <w:textAlignment w:val="auto"/>
        <w:outlineLvl w:val="9"/>
        <w:rPr>
          <w:rFonts w:hint="eastAsia" w:ascii="Times New Roman" w:hAnsi="Times New Roman" w:eastAsia="仿宋" w:cs="Times New Roman"/>
          <w:b w:val="0"/>
          <w:bCs w:val="0"/>
          <w:caps w:val="0"/>
          <w:smallCaps w:val="0"/>
          <w:kern w:val="2"/>
          <w:sz w:val="28"/>
          <w:szCs w:val="28"/>
          <w:highlight w:val="none"/>
          <w:lang w:val="en-US" w:eastAsia="zh-CN" w:bidi="ar-SA"/>
        </w:rPr>
      </w:pPr>
      <w:r>
        <w:rPr>
          <w:rFonts w:hint="default" w:ascii="Times New Roman" w:hAnsi="Times New Roman" w:eastAsia="仿宋" w:cs="Times New Roman"/>
          <w:b w:val="0"/>
          <w:bCs w:val="0"/>
          <w:caps w:val="0"/>
          <w:smallCaps w:val="0"/>
          <w:kern w:val="2"/>
          <w:sz w:val="28"/>
          <w:szCs w:val="28"/>
          <w:highlight w:val="none"/>
          <w:lang w:val="en-US" w:eastAsia="zh-CN" w:bidi="ar-SA"/>
        </w:rPr>
        <w:t>范围以</w:t>
      </w:r>
      <w:r>
        <w:rPr>
          <w:rFonts w:hint="eastAsia" w:ascii="Times New Roman" w:hAnsi="Times New Roman" w:eastAsia="仿宋" w:cs="Times New Roman"/>
          <w:b w:val="0"/>
          <w:bCs w:val="0"/>
          <w:caps w:val="0"/>
          <w:smallCaps w:val="0"/>
          <w:kern w:val="2"/>
          <w:sz w:val="28"/>
          <w:szCs w:val="28"/>
          <w:highlight w:val="none"/>
          <w:lang w:val="en-US" w:eastAsia="zh-CN" w:bidi="ar-SA"/>
        </w:rPr>
        <w:t>Ⅰ</w:t>
      </w:r>
      <w:r>
        <w:rPr>
          <w:rFonts w:hint="default" w:ascii="Times New Roman" w:hAnsi="Times New Roman" w:eastAsia="仿宋" w:cs="Times New Roman"/>
          <w:b w:val="0"/>
          <w:bCs w:val="0"/>
          <w:caps w:val="0"/>
          <w:smallCaps w:val="0"/>
          <w:kern w:val="2"/>
          <w:sz w:val="28"/>
          <w:szCs w:val="28"/>
          <w:highlight w:val="none"/>
          <w:lang w:val="en-US" w:eastAsia="zh-CN" w:bidi="ar-SA"/>
        </w:rPr>
        <w:t>级为中心向四周扩展，范围为东至东侧定级边界、南至南侧部分定级边界、西至定级边界、北至北侧定级边界形成的闭合区域。</w:t>
      </w:r>
    </w:p>
    <w:p w14:paraId="4E5331EC">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p>
    <w:p w14:paraId="33367184">
      <w:pPr>
        <w:adjustRightInd w:val="0"/>
        <w:snapToGrid w:val="0"/>
        <w:spacing w:line="360" w:lineRule="auto"/>
        <w:ind w:firstLine="0" w:firstLineChars="0"/>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eastAsia="zh-CN"/>
        </w:rPr>
        <w:drawing>
          <wp:inline distT="0" distB="0" distL="114300" distR="114300">
            <wp:extent cx="5391785" cy="3327400"/>
            <wp:effectExtent l="9525" t="9525" r="27940" b="15875"/>
            <wp:docPr id="6" name="图片 6" descr="2025150821JFWJ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5150821JFWJB1"/>
                    <pic:cNvPicPr>
                      <a:picLocks noChangeAspect="1"/>
                    </pic:cNvPicPr>
                  </pic:nvPicPr>
                  <pic:blipFill>
                    <a:blip r:embed="rId21"/>
                    <a:stretch>
                      <a:fillRect/>
                    </a:stretch>
                  </pic:blipFill>
                  <pic:spPr>
                    <a:xfrm>
                      <a:off x="0" y="0"/>
                      <a:ext cx="5391785" cy="3327400"/>
                    </a:xfrm>
                    <a:prstGeom prst="rect">
                      <a:avLst/>
                    </a:prstGeom>
                    <a:ln>
                      <a:solidFill>
                        <a:schemeClr val="tx1"/>
                      </a:solidFill>
                    </a:ln>
                  </pic:spPr>
                </pic:pic>
              </a:graphicData>
            </a:graphic>
          </wp:inline>
        </w:drawing>
      </w:r>
    </w:p>
    <w:p w14:paraId="63BB627C">
      <w:pPr>
        <w:adjustRightInd w:val="0"/>
        <w:snapToGrid w:val="0"/>
        <w:spacing w:line="240" w:lineRule="auto"/>
        <w:ind w:firstLine="0" w:firstLineChars="0"/>
        <w:jc w:val="center"/>
        <w:rPr>
          <w:rFonts w:hint="default" w:ascii="Times New Roman" w:hAnsi="Times New Roman" w:eastAsia="仿宋" w:cs="Times New Roman"/>
          <w:b/>
          <w:sz w:val="24"/>
          <w:szCs w:val="24"/>
          <w:lang w:val="en-US" w:eastAsia="zh-CN"/>
        </w:r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sz w:val="24"/>
          <w:szCs w:val="24"/>
        </w:rPr>
        <w:t>图</w:t>
      </w:r>
      <w:r>
        <w:rPr>
          <w:rFonts w:hint="default" w:ascii="Times New Roman" w:hAnsi="Times New Roman" w:eastAsia="仿宋" w:cs="Times New Roman"/>
          <w:b/>
          <w:sz w:val="24"/>
          <w:szCs w:val="24"/>
          <w:lang w:val="en-US" w:eastAsia="zh-CN"/>
        </w:rPr>
        <w:t>1</w:t>
      </w:r>
      <w:r>
        <w:rPr>
          <w:rFonts w:hint="default" w:ascii="Times New Roman" w:hAnsi="Times New Roman" w:eastAsia="仿宋" w:cs="Times New Roman"/>
          <w:b/>
          <w:sz w:val="24"/>
          <w:szCs w:val="24"/>
        </w:rPr>
        <w:t>-</w:t>
      </w:r>
      <w:r>
        <w:rPr>
          <w:rFonts w:hint="default" w:ascii="Times New Roman" w:hAnsi="Times New Roman" w:eastAsia="仿宋" w:cs="Times New Roman"/>
          <w:b/>
          <w:sz w:val="24"/>
          <w:szCs w:val="24"/>
          <w:lang w:val="en-US" w:eastAsia="zh-CN"/>
        </w:rPr>
        <w:t>4  五原县巴彦套海镇公共管理与公共服务用地级别图</w:t>
      </w:r>
    </w:p>
    <w:p w14:paraId="5F091D46">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left"/>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5、公用设施用地边界说明</w:t>
      </w:r>
    </w:p>
    <w:p w14:paraId="5CDD063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caps w:val="0"/>
          <w:smallCaps w:val="0"/>
          <w:sz w:val="28"/>
          <w:szCs w:val="28"/>
          <w:highlight w:val="none"/>
          <w:lang w:val="en-US" w:eastAsia="zh-CN"/>
        </w:rPr>
      </w:pPr>
      <w:r>
        <w:rPr>
          <w:rFonts w:hint="default" w:ascii="Times New Roman" w:hAnsi="Times New Roman" w:eastAsia="仿宋" w:cs="Times New Roman"/>
          <w:b w:val="0"/>
          <w:bCs w:val="0"/>
          <w:caps w:val="0"/>
          <w:smallCaps w:val="0"/>
          <w:sz w:val="28"/>
          <w:szCs w:val="28"/>
          <w:highlight w:val="none"/>
          <w:lang w:val="en-US" w:eastAsia="zh-CN"/>
        </w:rPr>
        <w:t>具体定级范围描述如下：</w:t>
      </w:r>
    </w:p>
    <w:p w14:paraId="76F91AF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b w:val="0"/>
          <w:bCs w:val="0"/>
          <w:caps w:val="0"/>
          <w:smallCaps w:val="0"/>
          <w:sz w:val="28"/>
          <w:szCs w:val="28"/>
          <w:highlight w:val="none"/>
          <w:lang w:val="en-US" w:eastAsia="zh-CN"/>
        </w:rPr>
      </w:pPr>
      <w:r>
        <w:rPr>
          <w:rFonts w:hint="eastAsia" w:ascii="Times New Roman" w:hAnsi="Times New Roman" w:eastAsia="仿宋" w:cs="Times New Roman"/>
          <w:b w:val="0"/>
          <w:bCs w:val="0"/>
          <w:caps w:val="0"/>
          <w:smallCaps w:val="0"/>
          <w:sz w:val="28"/>
          <w:szCs w:val="28"/>
          <w:highlight w:val="none"/>
          <w:lang w:val="en-US" w:eastAsia="zh-CN"/>
        </w:rPr>
        <w:t>Ⅰ级公用设施用地土地总面积106.71公顷。</w:t>
      </w:r>
    </w:p>
    <w:p w14:paraId="5152AAE0">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b w:val="0"/>
          <w:bCs w:val="0"/>
          <w:caps w:val="0"/>
          <w:smallCaps w:val="0"/>
          <w:sz w:val="28"/>
          <w:szCs w:val="28"/>
          <w:highlight w:val="none"/>
          <w:lang w:val="en-US" w:eastAsia="zh-CN"/>
        </w:rPr>
      </w:pPr>
      <w:r>
        <w:rPr>
          <w:rFonts w:hint="eastAsia" w:ascii="Times New Roman" w:hAnsi="Times New Roman" w:eastAsia="仿宋" w:cs="Times New Roman"/>
          <w:b w:val="0"/>
          <w:bCs w:val="0"/>
          <w:caps w:val="0"/>
          <w:smallCaps w:val="0"/>
          <w:sz w:val="28"/>
          <w:szCs w:val="28"/>
          <w:highlight w:val="none"/>
          <w:lang w:val="en-US" w:eastAsia="zh-CN"/>
        </w:rPr>
        <w:t>北至定级边界，南至定级边界，西至汽车站往西530米，东至定级边界。</w:t>
      </w:r>
    </w:p>
    <w:p w14:paraId="55098CD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Times New Roman" w:hAnsi="Times New Roman" w:eastAsia="仿宋" w:cs="Times New Roman"/>
          <w:b w:val="0"/>
          <w:bCs w:val="0"/>
          <w:caps w:val="0"/>
          <w:smallCaps w:val="0"/>
          <w:sz w:val="28"/>
          <w:szCs w:val="28"/>
          <w:highlight w:val="none"/>
          <w:lang w:val="en-US" w:eastAsia="zh-CN"/>
        </w:rPr>
      </w:pPr>
      <w:r>
        <w:rPr>
          <w:rFonts w:hint="eastAsia" w:ascii="Times New Roman" w:hAnsi="Times New Roman" w:eastAsia="仿宋" w:cs="Times New Roman"/>
          <w:b w:val="0"/>
          <w:bCs w:val="0"/>
          <w:caps w:val="0"/>
          <w:smallCaps w:val="0"/>
          <w:sz w:val="28"/>
          <w:szCs w:val="28"/>
          <w:highlight w:val="none"/>
          <w:lang w:val="en-US" w:eastAsia="zh-CN"/>
        </w:rPr>
        <w:t>Ⅱ级公用设施用地土地总面积150.99公顷。</w:t>
      </w:r>
    </w:p>
    <w:p w14:paraId="26E8888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caps w:val="0"/>
          <w:smallCaps w:val="0"/>
          <w:sz w:val="28"/>
          <w:szCs w:val="28"/>
          <w:highlight w:val="none"/>
          <w:lang w:val="en-US" w:eastAsia="zh-CN"/>
        </w:rPr>
        <w:t>范围以</w:t>
      </w:r>
      <w:r>
        <w:rPr>
          <w:rFonts w:hint="eastAsia" w:ascii="Times New Roman" w:hAnsi="Times New Roman" w:eastAsia="仿宋" w:cs="Times New Roman"/>
          <w:b w:val="0"/>
          <w:bCs w:val="0"/>
          <w:caps w:val="0"/>
          <w:smallCaps w:val="0"/>
          <w:sz w:val="28"/>
          <w:szCs w:val="28"/>
          <w:highlight w:val="none"/>
          <w:lang w:val="en-US" w:eastAsia="zh-CN"/>
        </w:rPr>
        <w:t>Ⅰ</w:t>
      </w:r>
      <w:r>
        <w:rPr>
          <w:rFonts w:hint="default" w:ascii="Times New Roman" w:hAnsi="Times New Roman" w:eastAsia="仿宋" w:cs="Times New Roman"/>
          <w:b w:val="0"/>
          <w:bCs w:val="0"/>
          <w:caps w:val="0"/>
          <w:smallCaps w:val="0"/>
          <w:sz w:val="28"/>
          <w:szCs w:val="28"/>
          <w:highlight w:val="none"/>
          <w:lang w:val="en-US" w:eastAsia="zh-CN"/>
        </w:rPr>
        <w:t>级为中心向四周扩展，范围为东至东侧定级边界、南至南侧部分定级边界、西至定级边界、北至北侧定级边界形成的闭合区域。</w:t>
      </w:r>
      <w:r>
        <w:rPr>
          <w:rFonts w:hint="default" w:ascii="Times New Roman" w:hAnsi="Times New Roman" w:eastAsia="仿宋" w:cs="Times New Roman"/>
          <w:b w:val="0"/>
          <w:bCs w:val="0"/>
          <w:kern w:val="2"/>
          <w:sz w:val="28"/>
          <w:szCs w:val="28"/>
          <w:lang w:val="en-US" w:eastAsia="zh-CN" w:bidi="ar-SA"/>
        </w:rPr>
        <w:drawing>
          <wp:inline distT="0" distB="0" distL="114300" distR="114300">
            <wp:extent cx="5391785" cy="3327400"/>
            <wp:effectExtent l="9525" t="9525" r="27940" b="15875"/>
            <wp:docPr id="8" name="图片 8" descr="2025150821JFWJ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025150821JFWJB2"/>
                    <pic:cNvPicPr>
                      <a:picLocks noChangeAspect="1"/>
                    </pic:cNvPicPr>
                  </pic:nvPicPr>
                  <pic:blipFill>
                    <a:blip r:embed="rId22"/>
                    <a:stretch>
                      <a:fillRect/>
                    </a:stretch>
                  </pic:blipFill>
                  <pic:spPr>
                    <a:xfrm>
                      <a:off x="0" y="0"/>
                      <a:ext cx="5391785" cy="3327400"/>
                    </a:xfrm>
                    <a:prstGeom prst="rect">
                      <a:avLst/>
                    </a:prstGeom>
                    <a:ln>
                      <a:solidFill>
                        <a:schemeClr val="tx1"/>
                      </a:solidFill>
                    </a:ln>
                  </pic:spPr>
                </pic:pic>
              </a:graphicData>
            </a:graphic>
          </wp:inline>
        </w:drawing>
      </w:r>
    </w:p>
    <w:p w14:paraId="447DA2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仿宋" w:cs="Times New Roman"/>
          <w:sz w:val="24"/>
          <w:szCs w:val="24"/>
          <w:lang w:eastAsia="zh-CN"/>
        </w:rPr>
        <w:sectPr>
          <w:footerReference r:id="rId12" w:type="default"/>
          <w:pgSz w:w="11907" w:h="16840"/>
          <w:pgMar w:top="1701" w:right="1701" w:bottom="1701" w:left="1701" w:header="1134" w:footer="1021" w:gutter="0"/>
          <w:pgNumType w:fmt="decimal" w:start="1"/>
          <w:cols w:space="720" w:num="1"/>
          <w:docGrid w:linePitch="271" w:charSpace="0"/>
        </w:sectPr>
      </w:pPr>
      <w:r>
        <w:rPr>
          <w:rFonts w:hint="default" w:ascii="Times New Roman" w:hAnsi="Times New Roman" w:eastAsia="仿宋" w:cs="Times New Roman"/>
          <w:b/>
          <w:sz w:val="24"/>
          <w:szCs w:val="24"/>
          <w:lang w:eastAsia="zh-CN"/>
        </w:rPr>
        <w:t>　　</w:t>
      </w:r>
      <w:r>
        <w:rPr>
          <w:rFonts w:hint="default" w:ascii="Times New Roman" w:hAnsi="Times New Roman" w:eastAsia="仿宋" w:cs="Times New Roman"/>
          <w:b/>
          <w:sz w:val="24"/>
          <w:szCs w:val="24"/>
        </w:rPr>
        <w:t>图</w:t>
      </w:r>
      <w:r>
        <w:rPr>
          <w:rFonts w:hint="default" w:ascii="Times New Roman" w:hAnsi="Times New Roman" w:eastAsia="仿宋" w:cs="Times New Roman"/>
          <w:b/>
          <w:sz w:val="24"/>
          <w:szCs w:val="24"/>
          <w:lang w:val="en-US" w:eastAsia="zh-CN"/>
        </w:rPr>
        <w:t>1</w:t>
      </w:r>
      <w:r>
        <w:rPr>
          <w:rFonts w:hint="default" w:ascii="Times New Roman" w:hAnsi="Times New Roman" w:eastAsia="仿宋" w:cs="Times New Roman"/>
          <w:b/>
          <w:sz w:val="24"/>
          <w:szCs w:val="24"/>
        </w:rPr>
        <w:t>-</w:t>
      </w:r>
      <w:r>
        <w:rPr>
          <w:rFonts w:hint="default" w:ascii="Times New Roman" w:hAnsi="Times New Roman" w:eastAsia="仿宋" w:cs="Times New Roman"/>
          <w:b/>
          <w:sz w:val="24"/>
          <w:szCs w:val="24"/>
          <w:lang w:val="en-US" w:eastAsia="zh-CN"/>
        </w:rPr>
        <w:t>5 五原县巴彦套海镇公用设施用地级别图</w:t>
      </w:r>
    </w:p>
    <w:bookmarkEnd w:id="6"/>
    <w:bookmarkEnd w:id="7"/>
    <w:bookmarkEnd w:id="8"/>
    <w:p w14:paraId="40889510">
      <w:pPr>
        <w:keepNext w:val="0"/>
        <w:keepLines w:val="0"/>
        <w:pageBreakBefore w:val="0"/>
        <w:widowControl/>
        <w:kinsoku/>
        <w:wordWrap/>
        <w:overflowPunct/>
        <w:topLinePunct w:val="0"/>
        <w:autoSpaceDE/>
        <w:autoSpaceDN/>
        <w:bidi w:val="0"/>
        <w:adjustRightInd/>
        <w:snapToGrid/>
        <w:spacing w:after="272" w:afterLines="100"/>
        <w:ind w:firstLine="602" w:firstLineChars="200"/>
        <w:textAlignment w:val="auto"/>
        <w:outlineLvl w:val="1"/>
        <w:rPr>
          <w:rFonts w:hint="default" w:ascii="Times New Roman" w:hAnsi="Times New Roman" w:eastAsia="仿宋" w:cs="Times New Roman"/>
          <w:b/>
          <w:bCs/>
          <w:sz w:val="30"/>
          <w:szCs w:val="30"/>
          <w:lang w:val="en-US" w:eastAsia="zh-CN"/>
        </w:rPr>
      </w:pPr>
      <w:bookmarkStart w:id="9" w:name="_Toc9924"/>
      <w:r>
        <w:rPr>
          <w:rFonts w:hint="default" w:ascii="Times New Roman" w:hAnsi="Times New Roman" w:eastAsia="仿宋" w:cs="Times New Roman"/>
          <w:b/>
          <w:bCs/>
          <w:sz w:val="30"/>
          <w:szCs w:val="30"/>
          <w:lang w:val="en-US" w:eastAsia="zh-CN"/>
        </w:rPr>
        <w:t>（二）五原县巴彦套海镇各类用地级别基准地价</w:t>
      </w:r>
      <w:bookmarkEnd w:id="5"/>
      <w:bookmarkEnd w:id="9"/>
    </w:p>
    <w:p w14:paraId="41781F18">
      <w:pPr>
        <w:keepNext w:val="0"/>
        <w:keepLines w:val="0"/>
        <w:pageBreakBefore w:val="0"/>
        <w:widowControl/>
        <w:kinsoku/>
        <w:wordWrap/>
        <w:overflowPunct/>
        <w:topLinePunct w:val="0"/>
        <w:autoSpaceDE/>
        <w:autoSpaceDN/>
        <w:bidi w:val="0"/>
        <w:adjustRightInd/>
        <w:snapToGrid/>
        <w:spacing w:before="136" w:beforeLines="50" w:line="240" w:lineRule="auto"/>
        <w:jc w:val="center"/>
        <w:textAlignment w:val="auto"/>
        <w:rPr>
          <w:rFonts w:hint="default" w:ascii="Times New Roman" w:hAnsi="Times New Roman" w:eastAsia="仿宋" w:cs="Times New Roman"/>
          <w:b/>
          <w:sz w:val="24"/>
        </w:rPr>
      </w:pPr>
      <w:r>
        <w:rPr>
          <w:rFonts w:hint="default" w:ascii="Times New Roman" w:hAnsi="Times New Roman" w:eastAsia="仿宋" w:cs="Times New Roman"/>
          <w:b/>
          <w:sz w:val="24"/>
        </w:rPr>
        <w:t xml:space="preserve">表1-1  </w:t>
      </w:r>
      <w:r>
        <w:rPr>
          <w:rFonts w:hint="default" w:ascii="Times New Roman" w:hAnsi="Times New Roman" w:eastAsia="仿宋" w:cs="Times New Roman"/>
          <w:b/>
          <w:sz w:val="24"/>
          <w:lang w:val="en-US" w:eastAsia="zh-CN"/>
        </w:rPr>
        <w:t>巴彦套海镇</w:t>
      </w:r>
      <w:r>
        <w:rPr>
          <w:rFonts w:hint="default" w:ascii="Times New Roman" w:hAnsi="Times New Roman" w:eastAsia="仿宋" w:cs="Times New Roman"/>
          <w:b/>
          <w:sz w:val="24"/>
          <w:lang w:eastAsia="zh-CN"/>
        </w:rPr>
        <w:t>各类</w:t>
      </w:r>
      <w:r>
        <w:rPr>
          <w:rFonts w:hint="default" w:ascii="Times New Roman" w:hAnsi="Times New Roman" w:eastAsia="仿宋" w:cs="Times New Roman"/>
          <w:b/>
          <w:sz w:val="24"/>
        </w:rPr>
        <w:t>用地基准地价表</w:t>
      </w:r>
    </w:p>
    <w:tbl>
      <w:tblPr>
        <w:tblStyle w:val="14"/>
        <w:tblW w:w="84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5"/>
        <w:gridCol w:w="3365"/>
        <w:gridCol w:w="937"/>
        <w:gridCol w:w="1809"/>
        <w:gridCol w:w="1212"/>
      </w:tblGrid>
      <w:tr w14:paraId="0254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1155" w:type="dxa"/>
            <w:tcBorders>
              <w:top w:val="single" w:color="000000" w:sz="4" w:space="0"/>
              <w:left w:val="single" w:color="000000" w:sz="4" w:space="0"/>
              <w:bottom w:val="single" w:color="000000" w:sz="4" w:space="0"/>
              <w:right w:val="single" w:color="000000" w:sz="4" w:space="0"/>
            </w:tcBorders>
            <w:noWrap w:val="0"/>
            <w:vAlign w:val="center"/>
          </w:tcPr>
          <w:p w14:paraId="62CCB0F6">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bookmarkStart w:id="10" w:name="_Toc2030"/>
            <w:r>
              <w:rPr>
                <w:rFonts w:hint="default" w:ascii="Times New Roman" w:hAnsi="Times New Roman" w:eastAsia="仿宋" w:cs="Times New Roman"/>
                <w:kern w:val="0"/>
                <w:sz w:val="24"/>
                <w:szCs w:val="24"/>
                <w:highlight w:val="none"/>
                <w:lang w:val="en-US" w:eastAsia="zh-CN"/>
              </w:rPr>
              <w:t>行政区</w:t>
            </w:r>
          </w:p>
        </w:tc>
        <w:tc>
          <w:tcPr>
            <w:tcW w:w="3365" w:type="dxa"/>
            <w:tcBorders>
              <w:top w:val="single" w:color="000000" w:sz="4" w:space="0"/>
              <w:left w:val="single" w:color="000000" w:sz="4" w:space="0"/>
              <w:bottom w:val="single" w:color="000000" w:sz="4" w:space="0"/>
              <w:right w:val="single" w:color="000000" w:sz="4" w:space="0"/>
            </w:tcBorders>
            <w:noWrap w:val="0"/>
            <w:vAlign w:val="center"/>
          </w:tcPr>
          <w:p w14:paraId="31F82694">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用地类型</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55C2FF4A">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级别</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692E6064">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地价</w:t>
            </w:r>
          </w:p>
          <w:p w14:paraId="5A4D200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（元/平方米）</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6992E1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地价</w:t>
            </w:r>
          </w:p>
          <w:p w14:paraId="78885813">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（万元/亩）</w:t>
            </w:r>
          </w:p>
        </w:tc>
      </w:tr>
      <w:tr w14:paraId="738F7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restart"/>
            <w:tcBorders>
              <w:top w:val="single" w:color="000000" w:sz="4" w:space="0"/>
              <w:left w:val="single" w:color="000000" w:sz="4" w:space="0"/>
              <w:right w:val="single" w:color="000000" w:sz="4" w:space="0"/>
            </w:tcBorders>
            <w:noWrap w:val="0"/>
            <w:vAlign w:val="center"/>
          </w:tcPr>
          <w:p w14:paraId="77B4C20C">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巴彦套海镇</w:t>
            </w:r>
          </w:p>
        </w:tc>
        <w:tc>
          <w:tcPr>
            <w:tcW w:w="3365" w:type="dxa"/>
            <w:vMerge w:val="restart"/>
            <w:tcBorders>
              <w:top w:val="single" w:color="000000" w:sz="4" w:space="0"/>
              <w:left w:val="single" w:color="000000" w:sz="4" w:space="0"/>
              <w:right w:val="single" w:color="000000" w:sz="4" w:space="0"/>
            </w:tcBorders>
            <w:noWrap w:val="0"/>
            <w:vAlign w:val="center"/>
          </w:tcPr>
          <w:p w14:paraId="3C48AC8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商业服务业用地</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72149C3C">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Ⅰ</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5C0D46BC">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173</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352DD86">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11.53</w:t>
            </w:r>
          </w:p>
        </w:tc>
      </w:tr>
      <w:tr w14:paraId="6955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3E2CFA91">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left w:val="single" w:color="000000" w:sz="4" w:space="0"/>
              <w:right w:val="single" w:color="000000" w:sz="4" w:space="0"/>
            </w:tcBorders>
            <w:noWrap w:val="0"/>
            <w:vAlign w:val="center"/>
          </w:tcPr>
          <w:p w14:paraId="11ECC38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F518B60">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Ⅱ</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4E8A52C5">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140</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C6D2AFB">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9.33</w:t>
            </w:r>
          </w:p>
        </w:tc>
      </w:tr>
      <w:tr w14:paraId="2EA1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238440F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left w:val="single" w:color="000000" w:sz="4" w:space="0"/>
              <w:bottom w:val="single" w:color="000000" w:sz="4" w:space="0"/>
              <w:right w:val="single" w:color="000000" w:sz="4" w:space="0"/>
            </w:tcBorders>
            <w:noWrap w:val="0"/>
            <w:vAlign w:val="center"/>
          </w:tcPr>
          <w:p w14:paraId="124A2CFA">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2B03158B">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cs="Times New Roman"/>
                <w:kern w:val="0"/>
                <w:sz w:val="24"/>
                <w:szCs w:val="24"/>
                <w:highlight w:val="none"/>
                <w:lang w:val="en-US" w:eastAsia="zh-CN"/>
              </w:rPr>
              <w:t>Ⅲ</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69EA85DA">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99</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91B5E1A">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6.60</w:t>
            </w:r>
          </w:p>
        </w:tc>
      </w:tr>
      <w:tr w14:paraId="75796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8" w:hRule="atLeast"/>
        </w:trPr>
        <w:tc>
          <w:tcPr>
            <w:tcW w:w="1155" w:type="dxa"/>
            <w:vMerge w:val="continue"/>
            <w:tcBorders>
              <w:left w:val="single" w:color="000000" w:sz="4" w:space="0"/>
              <w:right w:val="single" w:color="000000" w:sz="4" w:space="0"/>
            </w:tcBorders>
            <w:noWrap w:val="0"/>
            <w:vAlign w:val="center"/>
          </w:tcPr>
          <w:p w14:paraId="532539FC">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2BE1CB">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居住用地</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63E95F12">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Ⅰ</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34F1CB90">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125</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3FDA2C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8.33</w:t>
            </w:r>
          </w:p>
        </w:tc>
      </w:tr>
      <w:tr w14:paraId="7DFC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4FD1F328">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CD4B3">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43516102">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Ⅱ</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042C0F9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95</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FB384C5">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6.33</w:t>
            </w:r>
          </w:p>
        </w:tc>
      </w:tr>
      <w:tr w14:paraId="310B7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6E8D7344">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restart"/>
            <w:tcBorders>
              <w:top w:val="single" w:color="000000" w:sz="4" w:space="0"/>
              <w:left w:val="single" w:color="000000" w:sz="4" w:space="0"/>
              <w:right w:val="single" w:color="000000" w:sz="4" w:space="0"/>
            </w:tcBorders>
            <w:noWrap w:val="0"/>
            <w:vAlign w:val="center"/>
          </w:tcPr>
          <w:p w14:paraId="3489989D">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工矿用地</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2F7F6D95">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Ⅰ</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69EEBE93">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112</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7798AD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7.47</w:t>
            </w:r>
          </w:p>
        </w:tc>
      </w:tr>
      <w:tr w14:paraId="0559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0467F0B6">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left w:val="single" w:color="000000" w:sz="4" w:space="0"/>
              <w:bottom w:val="single" w:color="000000" w:sz="4" w:space="0"/>
              <w:right w:val="single" w:color="000000" w:sz="4" w:space="0"/>
            </w:tcBorders>
            <w:noWrap w:val="0"/>
            <w:vAlign w:val="center"/>
          </w:tcPr>
          <w:p w14:paraId="62E43D4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34B1270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cs="Times New Roman"/>
                <w:kern w:val="0"/>
                <w:sz w:val="24"/>
                <w:szCs w:val="24"/>
                <w:highlight w:val="none"/>
                <w:lang w:val="en-US" w:eastAsia="zh-CN"/>
              </w:rPr>
              <w:t>Ⅱ</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35F27390">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84</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DA9D9F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5.60</w:t>
            </w:r>
          </w:p>
        </w:tc>
      </w:tr>
      <w:tr w14:paraId="7C833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49FB5E5A">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restart"/>
            <w:tcBorders>
              <w:top w:val="single" w:color="000000" w:sz="4" w:space="0"/>
              <w:left w:val="single" w:color="000000" w:sz="4" w:space="0"/>
              <w:bottom w:val="single" w:color="000000" w:sz="4" w:space="0"/>
              <w:right w:val="single" w:color="000000" w:sz="4" w:space="0"/>
            </w:tcBorders>
            <w:noWrap w:val="0"/>
            <w:vAlign w:val="center"/>
          </w:tcPr>
          <w:p w14:paraId="17367E86">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公共管理与公共服务用地</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4B80BFD5">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Ⅰ</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36C179A5">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124</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F6E0CF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8.27</w:t>
            </w:r>
          </w:p>
        </w:tc>
      </w:tr>
      <w:tr w14:paraId="5763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1155" w:type="dxa"/>
            <w:vMerge w:val="continue"/>
            <w:tcBorders>
              <w:left w:val="single" w:color="000000" w:sz="4" w:space="0"/>
              <w:right w:val="single" w:color="000000" w:sz="4" w:space="0"/>
            </w:tcBorders>
            <w:noWrap w:val="0"/>
            <w:vAlign w:val="center"/>
          </w:tcPr>
          <w:p w14:paraId="0ABC39D6">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CC537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086C0930">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Ⅱ</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279B6BEB">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93</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493668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6.20</w:t>
            </w:r>
          </w:p>
        </w:tc>
      </w:tr>
      <w:tr w14:paraId="50262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155" w:type="dxa"/>
            <w:vMerge w:val="continue"/>
            <w:tcBorders>
              <w:left w:val="single" w:color="000000" w:sz="4" w:space="0"/>
              <w:right w:val="single" w:color="000000" w:sz="4" w:space="0"/>
            </w:tcBorders>
            <w:noWrap w:val="0"/>
            <w:vAlign w:val="center"/>
          </w:tcPr>
          <w:p w14:paraId="342AF8D4">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restart"/>
            <w:tcBorders>
              <w:top w:val="single" w:color="000000" w:sz="4" w:space="0"/>
              <w:left w:val="single" w:color="000000" w:sz="4" w:space="0"/>
              <w:right w:val="single" w:color="000000" w:sz="4" w:space="0"/>
            </w:tcBorders>
            <w:noWrap w:val="0"/>
            <w:vAlign w:val="center"/>
          </w:tcPr>
          <w:p w14:paraId="1B083FE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公用设施用地</w:t>
            </w: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40CAE0C0">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Ⅰ</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5955FC47">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112</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BA1A6EC">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7.47</w:t>
            </w:r>
          </w:p>
        </w:tc>
      </w:tr>
      <w:tr w14:paraId="7B18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155" w:type="dxa"/>
            <w:vMerge w:val="continue"/>
            <w:tcBorders>
              <w:left w:val="single" w:color="000000" w:sz="4" w:space="0"/>
              <w:bottom w:val="single" w:color="000000" w:sz="4" w:space="0"/>
              <w:right w:val="single" w:color="000000" w:sz="4" w:space="0"/>
            </w:tcBorders>
            <w:noWrap w:val="0"/>
            <w:vAlign w:val="center"/>
          </w:tcPr>
          <w:p w14:paraId="08CEA09E">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3365" w:type="dxa"/>
            <w:vMerge w:val="continue"/>
            <w:tcBorders>
              <w:left w:val="single" w:color="000000" w:sz="4" w:space="0"/>
              <w:bottom w:val="single" w:color="000000" w:sz="4" w:space="0"/>
              <w:right w:val="single" w:color="000000" w:sz="4" w:space="0"/>
            </w:tcBorders>
            <w:noWrap w:val="0"/>
            <w:vAlign w:val="center"/>
          </w:tcPr>
          <w:p w14:paraId="55FAA5E2">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vAlign w:val="center"/>
          </w:tcPr>
          <w:p w14:paraId="5C9472F2">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Ⅱ</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767D439B">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84</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27A6C89">
            <w:pPr>
              <w:adjustRightInd w:val="0"/>
              <w:snapToGrid w:val="0"/>
              <w:spacing w:line="240" w:lineRule="auto"/>
              <w:ind w:firstLine="0" w:firstLineChars="0"/>
              <w:jc w:val="cente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5.60</w:t>
            </w:r>
          </w:p>
        </w:tc>
      </w:tr>
    </w:tbl>
    <w:p w14:paraId="78281624">
      <w:pPr>
        <w:keepNext w:val="0"/>
        <w:keepLines w:val="0"/>
        <w:pageBreakBefore w:val="0"/>
        <w:widowControl/>
        <w:kinsoku/>
        <w:wordWrap/>
        <w:overflowPunct/>
        <w:topLinePunct w:val="0"/>
        <w:autoSpaceDE/>
        <w:autoSpaceDN/>
        <w:bidi w:val="0"/>
        <w:adjustRightInd/>
        <w:snapToGrid/>
        <w:spacing w:before="272" w:beforeLines="100" w:after="272" w:afterLines="100"/>
        <w:ind w:firstLine="301" w:firstLineChars="100"/>
        <w:textAlignment w:val="auto"/>
        <w:outlineLvl w:val="1"/>
        <w:rPr>
          <w:rFonts w:hint="default" w:ascii="Times New Roman" w:hAnsi="Times New Roman" w:eastAsia="仿宋" w:cs="Times New Roman"/>
          <w:b/>
          <w:bCs/>
          <w:sz w:val="30"/>
          <w:szCs w:val="30"/>
          <w:lang w:val="en-US" w:eastAsia="zh-CN"/>
        </w:rPr>
      </w:pPr>
      <w:bookmarkStart w:id="11" w:name="_Toc28528"/>
      <w:r>
        <w:rPr>
          <w:rFonts w:hint="default" w:ascii="Times New Roman" w:hAnsi="Times New Roman" w:eastAsia="仿宋" w:cs="Times New Roman"/>
          <w:b/>
          <w:bCs/>
          <w:sz w:val="30"/>
          <w:szCs w:val="30"/>
          <w:lang w:val="en-US" w:eastAsia="zh-CN"/>
        </w:rPr>
        <w:t>（三）五原县巴彦套海镇基准地价内涵</w:t>
      </w:r>
      <w:bookmarkEnd w:id="10"/>
      <w:bookmarkEnd w:id="11"/>
    </w:p>
    <w:p w14:paraId="60ADC558">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bookmarkStart w:id="12" w:name="_Toc312920504"/>
      <w:bookmarkStart w:id="13" w:name="_Toc2783"/>
      <w:bookmarkStart w:id="14" w:name="_Toc32712"/>
      <w:r>
        <w:rPr>
          <w:rFonts w:hint="default" w:ascii="Times New Roman" w:hAnsi="Times New Roman" w:eastAsia="仿宋" w:cs="Times New Roman"/>
          <w:sz w:val="24"/>
          <w:szCs w:val="24"/>
          <w:lang w:eastAsia="zh-CN"/>
        </w:rPr>
        <w:t>　</w:t>
      </w:r>
      <w:r>
        <w:rPr>
          <w:rFonts w:hint="default" w:ascii="Times New Roman" w:hAnsi="Times New Roman" w:eastAsia="仿宋" w:cs="Times New Roman"/>
          <w:sz w:val="24"/>
          <w:szCs w:val="24"/>
          <w:lang w:val="en-US" w:eastAsia="zh-CN"/>
        </w:rPr>
        <w:t xml:space="preserve">  </w:t>
      </w:r>
      <w:r>
        <w:rPr>
          <w:rFonts w:hint="default" w:ascii="Times New Roman" w:hAnsi="Times New Roman" w:eastAsia="仿宋" w:cs="Times New Roman"/>
          <w:b w:val="0"/>
          <w:bCs w:val="0"/>
          <w:kern w:val="2"/>
          <w:sz w:val="28"/>
          <w:szCs w:val="28"/>
          <w:lang w:val="en-US" w:eastAsia="zh-CN" w:bidi="ar-SA"/>
        </w:rPr>
        <w:t>本次制定的基准地价为五原县巴彦套海镇257.71公顷范围内，按用途在以下设定条件下的土地使用权平均价格：</w:t>
      </w:r>
    </w:p>
    <w:p w14:paraId="1753D0E0">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1、评估期日：本次评估期日为2025年6月30日；</w:t>
      </w:r>
    </w:p>
    <w:p w14:paraId="3B337858">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2、权利状况：土地权利状况为国有出让土地使用权；</w:t>
      </w:r>
    </w:p>
    <w:p w14:paraId="0D8ED915">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3、土地使用年期：土地使用年期按法定最高出让年限设定，即商业服务业用地40年，居住用地70年，工矿用地、公共管理与公共服务用地、公用设施用地50年；</w:t>
      </w:r>
    </w:p>
    <w:p w14:paraId="2311FC1C">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4、土地开发程度：商业服务业用地、居住用地、公共管理与公共服务用地设定土地开发程度为 “六通一平” （宗地红线外通路、通电、通讯、通上水、通下水、通暖和宗地内场地平整）。工矿用地、公用设施用地设定土地开发程度为“五通一平” （宗地红线外通路、通电、通讯、通上水、通下水和宗地内场地平整）。</w:t>
      </w:r>
    </w:p>
    <w:p w14:paraId="6F16E83A">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5、容积率：根据测算确定各用途设定容积率，商业服务业用地、居住用地、公共管理与公共服务用地1.0、工矿用地、公用设施用地0.8；</w:t>
      </w:r>
    </w:p>
    <w:p w14:paraId="2B132014">
      <w:pPr>
        <w:adjustRightInd w:val="0"/>
        <w:snapToGrid w:val="0"/>
        <w:spacing w:line="360" w:lineRule="auto"/>
        <w:ind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6、其他条件为宗地地价修正系数表中的“一般”条件。</w:t>
      </w:r>
    </w:p>
    <w:p w14:paraId="4BAA57A5">
      <w:pPr>
        <w:keepNext w:val="0"/>
        <w:keepLines w:val="0"/>
        <w:pageBreakBefore w:val="0"/>
        <w:widowControl/>
        <w:kinsoku/>
        <w:wordWrap/>
        <w:overflowPunct/>
        <w:topLinePunct w:val="0"/>
        <w:autoSpaceDE/>
        <w:autoSpaceDN/>
        <w:bidi w:val="0"/>
        <w:adjustRightInd/>
        <w:snapToGrid/>
        <w:spacing w:before="272" w:beforeLines="100" w:after="272" w:afterLines="100"/>
        <w:ind w:firstLine="301" w:firstLineChars="100"/>
        <w:textAlignment w:val="auto"/>
        <w:outlineLvl w:val="1"/>
        <w:rPr>
          <w:rFonts w:hint="default" w:ascii="Times New Roman" w:hAnsi="Times New Roman" w:eastAsia="仿宋" w:cs="Times New Roman"/>
          <w:b/>
          <w:bCs/>
          <w:sz w:val="30"/>
          <w:szCs w:val="30"/>
          <w:lang w:val="en-US" w:eastAsia="zh-CN"/>
        </w:rPr>
      </w:pPr>
      <w:bookmarkStart w:id="15" w:name="_Toc8097"/>
      <w:r>
        <w:rPr>
          <w:rFonts w:hint="default" w:ascii="Times New Roman" w:hAnsi="Times New Roman" w:eastAsia="仿宋" w:cs="Times New Roman"/>
          <w:b/>
          <w:bCs/>
          <w:sz w:val="30"/>
          <w:szCs w:val="30"/>
          <w:lang w:val="en-US" w:eastAsia="zh-CN"/>
        </w:rPr>
        <w:t>（四）土地用途细分及其他用途修正</w:t>
      </w:r>
      <w:bookmarkEnd w:id="15"/>
    </w:p>
    <w:p w14:paraId="50EEA8A4">
      <w:pPr>
        <w:adjustRightInd w:val="0"/>
        <w:snapToGrid w:val="0"/>
        <w:spacing w:line="360" w:lineRule="auto"/>
        <w:ind w:firstLine="560" w:firstLineChars="20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①必要性</w:t>
      </w:r>
    </w:p>
    <w:p w14:paraId="0FC3C7F1">
      <w:pPr>
        <w:adjustRightInd w:val="0"/>
        <w:snapToGrid w:val="0"/>
        <w:spacing w:line="360" w:lineRule="auto"/>
        <w:ind w:firstLine="560" w:firstLineChars="200"/>
        <w:rPr>
          <w:rFonts w:hint="eastAsia" w:ascii="仿宋" w:hAnsi="仿宋" w:eastAsia="仿宋" w:cs="仿宋"/>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随着城市经济社会的发展，产业类型呈现多元化，相应的土地利用方式和用途也显现出多样化的特点，加之自然资源部进一步细化了土地利用现状分类，且不同物业形态由于经营能力</w:t>
      </w:r>
      <w:r>
        <w:rPr>
          <w:rFonts w:hint="eastAsia" w:ascii="仿宋" w:hAnsi="仿宋" w:eastAsia="仿宋" w:cs="仿宋"/>
          <w:b w:val="0"/>
          <w:bCs w:val="0"/>
          <w:kern w:val="2"/>
          <w:sz w:val="28"/>
          <w:szCs w:val="28"/>
          <w:lang w:val="en-US" w:eastAsia="zh-CN" w:bidi="ar-SA"/>
        </w:rPr>
        <w:t>及社会经济、生态效益不同，其土地收益、市场地价水平存在较大差别。目前，商业服务业、居住、工矿、公共管理与公共服务、公用设施用地五类用地基准地价分类体系已经不能完全适应土地市场发展的需求，为进一步建立健全巴彦套海镇地价体系，落实扩大国有土地有偿使用范围的相关政策要求，提升巴彦套海镇国有土地资源节约集约利用水平，客观上需要细化和拓宽基准地价用途分类。</w:t>
      </w:r>
    </w:p>
    <w:p w14:paraId="380DD1AF">
      <w:pPr>
        <w:adjustRightInd w:val="0"/>
        <w:snapToGrid w:val="0"/>
        <w:spacing w:line="360" w:lineRule="auto"/>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②分类</w:t>
      </w:r>
    </w:p>
    <w:p w14:paraId="04F0EAFC">
      <w:pPr>
        <w:adjustRightInd w:val="0"/>
        <w:snapToGrid w:val="0"/>
        <w:spacing w:line="360" w:lineRule="auto"/>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本次开展土地用途细分及其他用途修正是以《国土空间调查、规划、用途管制用地用海分类指南》中建设用地一级类为基础，根据土地用途、土地收益、市场地价水平的不同，细化到二级类（个别在二级类基础上进一步细化到三级类）。</w:t>
      </w:r>
    </w:p>
    <w:p w14:paraId="21EE1E5E">
      <w:pPr>
        <w:adjustRightInd w:val="0"/>
        <w:snapToGrid w:val="0"/>
        <w:spacing w:line="360" w:lineRule="auto"/>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③基本思路</w:t>
      </w:r>
    </w:p>
    <w:p w14:paraId="238CCEE6">
      <w:pPr>
        <w:adjustRightInd w:val="0"/>
        <w:snapToGrid w:val="0"/>
        <w:spacing w:line="360" w:lineRule="auto"/>
        <w:ind w:firstLine="560" w:firstLineChars="200"/>
        <w:rPr>
          <w:rFonts w:hint="eastAsia" w:ascii="仿宋" w:hAnsi="仿宋" w:eastAsia="仿宋" w:cs="仿宋"/>
          <w:b w:val="0"/>
          <w:bCs w:val="0"/>
          <w:kern w:val="2"/>
          <w:sz w:val="28"/>
          <w:szCs w:val="28"/>
          <w:lang w:val="en-US" w:eastAsia="zh-CN" w:bidi="ar-SA"/>
        </w:rPr>
        <w:sectPr>
          <w:footerReference r:id="rId13" w:type="default"/>
          <w:pgSz w:w="11907" w:h="16840"/>
          <w:pgMar w:top="1701" w:right="1701" w:bottom="1701" w:left="1701" w:header="1134" w:footer="1021" w:gutter="0"/>
          <w:pgNumType w:fmt="decimal"/>
          <w:cols w:space="720" w:num="1"/>
          <w:docGrid w:linePitch="271" w:charSpace="0"/>
        </w:sectPr>
      </w:pPr>
      <w:r>
        <w:rPr>
          <w:rFonts w:hint="eastAsia" w:ascii="仿宋" w:hAnsi="仿宋" w:eastAsia="仿宋" w:cs="仿宋"/>
          <w:b w:val="0"/>
          <w:bCs w:val="0"/>
          <w:kern w:val="2"/>
          <w:sz w:val="28"/>
          <w:szCs w:val="28"/>
          <w:lang w:val="en-US" w:eastAsia="zh-CN" w:bidi="ar-SA"/>
        </w:rPr>
        <w:t>确定土地用途细分及其他用途修正的基本思路：以商业服务业、居住、工矿、公共管理与公共服务、公用设施用地基准地价为基础，考虑不同用途土地收益率、市场需求、产业政策等，结合类似城市做法，并征询专家意见，综合确定土地用途细分及其他用途修正系数。</w:t>
      </w:r>
    </w:p>
    <w:p w14:paraId="3C7FC13D">
      <w:pPr>
        <w:spacing w:line="240" w:lineRule="auto"/>
        <w:ind w:right="-334" w:firstLine="0" w:firstLineChars="0"/>
        <w:jc w:val="center"/>
        <w:rPr>
          <w:rFonts w:hint="eastAsia" w:ascii="仿宋" w:hAnsi="仿宋" w:eastAsia="仿宋" w:cs="仿宋"/>
          <w:b/>
          <w:sz w:val="18"/>
          <w:szCs w:val="18"/>
          <w:lang w:eastAsia="zh-CN"/>
        </w:rPr>
      </w:pPr>
      <w:r>
        <w:rPr>
          <w:rFonts w:hint="eastAsia" w:ascii="仿宋" w:hAnsi="仿宋" w:eastAsia="仿宋" w:cs="仿宋"/>
          <w:b/>
          <w:sz w:val="18"/>
          <w:szCs w:val="18"/>
          <w:lang w:eastAsia="zh-CN"/>
        </w:rPr>
        <w:t>表</w:t>
      </w:r>
      <w:r>
        <w:rPr>
          <w:rFonts w:hint="default" w:ascii="Times New Roman" w:hAnsi="Times New Roman" w:eastAsia="仿宋" w:cs="Times New Roman"/>
          <w:b/>
          <w:sz w:val="18"/>
          <w:szCs w:val="18"/>
          <w:lang w:val="en-US" w:eastAsia="zh-CN"/>
        </w:rPr>
        <w:t>1</w:t>
      </w:r>
      <w:r>
        <w:rPr>
          <w:rFonts w:hint="eastAsia" w:ascii="仿宋" w:hAnsi="仿宋" w:eastAsia="仿宋" w:cs="仿宋"/>
          <w:b/>
          <w:sz w:val="18"/>
          <w:szCs w:val="18"/>
          <w:lang w:val="en-US" w:eastAsia="zh-CN"/>
        </w:rPr>
        <w:t>-</w:t>
      </w:r>
      <w:r>
        <w:rPr>
          <w:rFonts w:hint="eastAsia" w:ascii="Times New Roman" w:hAnsi="Times New Roman" w:eastAsia="仿宋" w:cs="Times New Roman"/>
          <w:b/>
          <w:sz w:val="18"/>
          <w:szCs w:val="18"/>
          <w:lang w:val="en-US" w:eastAsia="zh-CN"/>
        </w:rPr>
        <w:t>2</w:t>
      </w:r>
      <w:r>
        <w:rPr>
          <w:rFonts w:hint="eastAsia" w:ascii="仿宋" w:hAnsi="仿宋" w:eastAsia="仿宋" w:cs="仿宋"/>
          <w:b/>
          <w:sz w:val="18"/>
          <w:szCs w:val="18"/>
          <w:lang w:val="en-US" w:eastAsia="zh-CN"/>
        </w:rPr>
        <w:t xml:space="preserve">  </w:t>
      </w:r>
      <w:r>
        <w:rPr>
          <w:rFonts w:hint="eastAsia" w:ascii="仿宋" w:hAnsi="仿宋" w:eastAsia="仿宋" w:cs="仿宋"/>
          <w:b/>
          <w:sz w:val="18"/>
          <w:szCs w:val="18"/>
          <w:lang w:eastAsia="zh-CN"/>
        </w:rPr>
        <w:t xml:space="preserve"> 土地用途细分及其他用途修正系数表</w:t>
      </w:r>
    </w:p>
    <w:tbl>
      <w:tblPr>
        <w:tblStyle w:val="14"/>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456"/>
        <w:gridCol w:w="1508"/>
        <w:gridCol w:w="7133"/>
        <w:gridCol w:w="2015"/>
        <w:gridCol w:w="582"/>
      </w:tblGrid>
      <w:tr w14:paraId="4E4287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blHeader/>
          <w:jc w:val="center"/>
        </w:trPr>
        <w:tc>
          <w:tcPr>
            <w:tcW w:w="351" w:type="pct"/>
            <w:noWrap w:val="0"/>
            <w:vAlign w:val="center"/>
          </w:tcPr>
          <w:p w14:paraId="34BC480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一级类</w:t>
            </w:r>
          </w:p>
        </w:tc>
        <w:tc>
          <w:tcPr>
            <w:tcW w:w="533" w:type="pct"/>
            <w:noWrap w:val="0"/>
            <w:vAlign w:val="center"/>
          </w:tcPr>
          <w:p w14:paraId="351C0206">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二级类</w:t>
            </w:r>
          </w:p>
        </w:tc>
        <w:tc>
          <w:tcPr>
            <w:tcW w:w="552" w:type="pct"/>
            <w:noWrap w:val="0"/>
            <w:vAlign w:val="center"/>
          </w:tcPr>
          <w:p w14:paraId="5A41D938">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三级类</w:t>
            </w:r>
          </w:p>
        </w:tc>
        <w:tc>
          <w:tcPr>
            <w:tcW w:w="2612" w:type="pct"/>
            <w:noWrap w:val="0"/>
            <w:vAlign w:val="center"/>
          </w:tcPr>
          <w:p w14:paraId="61C26E41">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含义</w:t>
            </w:r>
          </w:p>
        </w:tc>
        <w:tc>
          <w:tcPr>
            <w:tcW w:w="738" w:type="pct"/>
            <w:noWrap w:val="0"/>
            <w:vAlign w:val="center"/>
          </w:tcPr>
          <w:p w14:paraId="78BA88F2">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修正基准</w:t>
            </w:r>
          </w:p>
        </w:tc>
        <w:tc>
          <w:tcPr>
            <w:tcW w:w="212" w:type="pct"/>
            <w:noWrap w:val="0"/>
            <w:vAlign w:val="center"/>
          </w:tcPr>
          <w:p w14:paraId="76EFE9B3">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修正系数</w:t>
            </w:r>
          </w:p>
        </w:tc>
      </w:tr>
      <w:tr w14:paraId="1C87C5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351" w:type="pct"/>
            <w:vMerge w:val="restart"/>
            <w:tcBorders>
              <w:top w:val="single" w:color="auto" w:sz="4" w:space="0"/>
            </w:tcBorders>
            <w:noWrap w:val="0"/>
            <w:vAlign w:val="center"/>
          </w:tcPr>
          <w:p w14:paraId="1A25E90E">
            <w:pPr>
              <w:widowControl/>
              <w:snapToGrid w:val="0"/>
              <w:spacing w:line="240" w:lineRule="auto"/>
              <w:ind w:firstLine="0" w:firstLineChars="0"/>
              <w:contextualSpacing/>
              <w:jc w:val="center"/>
              <w:rPr>
                <w:rFonts w:hint="eastAsia" w:ascii="仿宋" w:hAnsi="仿宋" w:eastAsia="仿宋" w:cs="仿宋"/>
                <w:color w:val="000000"/>
                <w:spacing w:val="6"/>
                <w:kern w:val="0"/>
                <w:sz w:val="15"/>
                <w:szCs w:val="15"/>
                <w:lang w:val="en-US" w:eastAsia="zh-CN" w:bidi="ar-SA"/>
              </w:rPr>
            </w:pPr>
            <w:r>
              <w:rPr>
                <w:rFonts w:hint="eastAsia" w:ascii="仿宋" w:hAnsi="仿宋" w:eastAsia="仿宋" w:cs="仿宋"/>
                <w:color w:val="000000"/>
                <w:kern w:val="0"/>
                <w:sz w:val="15"/>
                <w:szCs w:val="15"/>
              </w:rPr>
              <w:t>商业服务业用地</w:t>
            </w:r>
          </w:p>
        </w:tc>
        <w:tc>
          <w:tcPr>
            <w:tcW w:w="3697" w:type="pct"/>
            <w:gridSpan w:val="3"/>
            <w:tcBorders>
              <w:top w:val="single" w:color="auto" w:sz="4" w:space="0"/>
            </w:tcBorders>
            <w:noWrap w:val="0"/>
            <w:vAlign w:val="center"/>
          </w:tcPr>
          <w:p w14:paraId="1FBA2F19">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指商业、商务金融以及娱乐康体等设施用地，不包括农村社区服务设施用地和城镇社区服务设施用地</w:t>
            </w:r>
          </w:p>
        </w:tc>
        <w:tc>
          <w:tcPr>
            <w:tcW w:w="738" w:type="pct"/>
            <w:tcBorders>
              <w:top w:val="single" w:color="auto" w:sz="4" w:space="0"/>
            </w:tcBorders>
            <w:noWrap w:val="0"/>
            <w:vAlign w:val="center"/>
          </w:tcPr>
          <w:p w14:paraId="49A23A42">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p>
        </w:tc>
        <w:tc>
          <w:tcPr>
            <w:tcW w:w="212" w:type="pct"/>
            <w:vMerge w:val="restart"/>
            <w:tcBorders>
              <w:top w:val="single" w:color="auto" w:sz="4" w:space="0"/>
            </w:tcBorders>
            <w:noWrap w:val="0"/>
            <w:vAlign w:val="center"/>
          </w:tcPr>
          <w:p w14:paraId="3D7C3EC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CF029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351" w:type="pct"/>
            <w:vMerge w:val="continue"/>
            <w:noWrap w:val="0"/>
            <w:vAlign w:val="center"/>
          </w:tcPr>
          <w:p w14:paraId="50FF46AD">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restart"/>
            <w:noWrap w:val="0"/>
            <w:vAlign w:val="center"/>
          </w:tcPr>
          <w:p w14:paraId="281721BB">
            <w:pPr>
              <w:widowControl/>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商业用地</w:t>
            </w:r>
          </w:p>
        </w:tc>
        <w:tc>
          <w:tcPr>
            <w:tcW w:w="552" w:type="pct"/>
            <w:tcBorders>
              <w:top w:val="single" w:color="auto" w:sz="4" w:space="0"/>
            </w:tcBorders>
            <w:noWrap w:val="0"/>
            <w:vAlign w:val="center"/>
          </w:tcPr>
          <w:p w14:paraId="3124C08E">
            <w:pPr>
              <w:snapToGrid w:val="0"/>
              <w:spacing w:line="240" w:lineRule="auto"/>
              <w:ind w:firstLine="0" w:firstLineChars="0"/>
              <w:contextualSpacing/>
              <w:jc w:val="center"/>
              <w:rPr>
                <w:rFonts w:hint="eastAsia" w:ascii="仿宋" w:hAnsi="仿宋" w:eastAsia="仿宋" w:cs="仿宋"/>
                <w:color w:val="000000"/>
                <w:kern w:val="0"/>
                <w:sz w:val="15"/>
                <w:szCs w:val="15"/>
                <w:lang w:val="en-US" w:eastAsia="zh-CN" w:bidi="ar-SA"/>
              </w:rPr>
            </w:pPr>
            <w:r>
              <w:rPr>
                <w:rFonts w:hint="eastAsia" w:ascii="仿宋" w:hAnsi="仿宋" w:eastAsia="仿宋" w:cs="仿宋"/>
                <w:color w:val="000000"/>
                <w:kern w:val="0"/>
                <w:sz w:val="15"/>
                <w:szCs w:val="15"/>
              </w:rPr>
              <w:t>零售商业用地</w:t>
            </w:r>
          </w:p>
        </w:tc>
        <w:tc>
          <w:tcPr>
            <w:tcW w:w="2612" w:type="pct"/>
            <w:tcBorders>
              <w:top w:val="single" w:color="auto" w:sz="4" w:space="0"/>
            </w:tcBorders>
            <w:noWrap w:val="0"/>
            <w:vAlign w:val="center"/>
          </w:tcPr>
          <w:p w14:paraId="159E10EB">
            <w:pPr>
              <w:widowControl/>
              <w:snapToGrid w:val="0"/>
              <w:spacing w:line="240" w:lineRule="auto"/>
              <w:ind w:firstLine="0" w:firstLineChars="0"/>
              <w:rPr>
                <w:rFonts w:hint="eastAsia" w:ascii="仿宋" w:hAnsi="仿宋" w:eastAsia="仿宋" w:cs="仿宋"/>
                <w:kern w:val="0"/>
                <w:sz w:val="15"/>
                <w:szCs w:val="15"/>
                <w:lang w:val="en-US" w:eastAsia="zh-CN" w:bidi="ar-SA"/>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商铺、商场、超市、服装及小商品市场等用地</w:t>
            </w:r>
          </w:p>
        </w:tc>
        <w:tc>
          <w:tcPr>
            <w:tcW w:w="738" w:type="pct"/>
            <w:tcBorders>
              <w:top w:val="single" w:color="auto" w:sz="4" w:space="0"/>
            </w:tcBorders>
            <w:noWrap w:val="0"/>
            <w:vAlign w:val="center"/>
          </w:tcPr>
          <w:p w14:paraId="5BDD9B07">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lang w:val="en-US" w:eastAsia="zh-CN" w:bidi="ar-SA"/>
              </w:rPr>
            </w:pPr>
            <w:r>
              <w:rPr>
                <w:rFonts w:hint="eastAsia" w:ascii="仿宋" w:hAnsi="仿宋" w:eastAsia="仿宋" w:cs="仿宋"/>
                <w:color w:val="000000"/>
                <w:kern w:val="0"/>
                <w:sz w:val="15"/>
                <w:szCs w:val="15"/>
              </w:rPr>
              <w:t>商业服务业用地</w:t>
            </w:r>
          </w:p>
        </w:tc>
        <w:tc>
          <w:tcPr>
            <w:tcW w:w="212" w:type="pct"/>
            <w:vMerge w:val="continue"/>
            <w:noWrap w:val="0"/>
            <w:vAlign w:val="center"/>
          </w:tcPr>
          <w:p w14:paraId="4328E65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r>
      <w:tr w14:paraId="14408E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351" w:type="pct"/>
            <w:vMerge w:val="continue"/>
            <w:noWrap w:val="0"/>
            <w:vAlign w:val="center"/>
          </w:tcPr>
          <w:p w14:paraId="287DC8F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6B02FDDE">
            <w:pPr>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52" w:type="pct"/>
            <w:noWrap w:val="0"/>
            <w:vAlign w:val="center"/>
          </w:tcPr>
          <w:p w14:paraId="2D26D9BE">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批发市场用地</w:t>
            </w:r>
          </w:p>
        </w:tc>
        <w:tc>
          <w:tcPr>
            <w:tcW w:w="2612" w:type="pct"/>
            <w:noWrap w:val="0"/>
            <w:vAlign w:val="center"/>
          </w:tcPr>
          <w:p w14:paraId="159059DC">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指以批发功能为主的市场用地</w:t>
            </w:r>
          </w:p>
        </w:tc>
        <w:tc>
          <w:tcPr>
            <w:tcW w:w="738" w:type="pct"/>
            <w:noWrap w:val="0"/>
            <w:vAlign w:val="center"/>
          </w:tcPr>
          <w:p w14:paraId="392CB283">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629A5E10">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37CD1E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7CAA6F74">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0C16BDAD">
            <w:pPr>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52" w:type="pct"/>
            <w:noWrap w:val="0"/>
            <w:vAlign w:val="center"/>
          </w:tcPr>
          <w:p w14:paraId="6C5D6D3A">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餐饮用地</w:t>
            </w:r>
          </w:p>
        </w:tc>
        <w:tc>
          <w:tcPr>
            <w:tcW w:w="2612" w:type="pct"/>
            <w:noWrap w:val="0"/>
            <w:vAlign w:val="center"/>
          </w:tcPr>
          <w:p w14:paraId="52C88031">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饭店、餐厅、酒吧等用地</w:t>
            </w:r>
          </w:p>
        </w:tc>
        <w:tc>
          <w:tcPr>
            <w:tcW w:w="738" w:type="pct"/>
            <w:noWrap w:val="0"/>
            <w:vAlign w:val="center"/>
          </w:tcPr>
          <w:p w14:paraId="73F3908D">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116C1E8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64E53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51" w:type="pct"/>
            <w:vMerge w:val="continue"/>
            <w:noWrap w:val="0"/>
            <w:vAlign w:val="center"/>
          </w:tcPr>
          <w:p w14:paraId="2519E702">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3511DDD0">
            <w:pPr>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52" w:type="pct"/>
            <w:noWrap w:val="0"/>
            <w:vAlign w:val="center"/>
          </w:tcPr>
          <w:p w14:paraId="3C047B14">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旅馆用地</w:t>
            </w:r>
          </w:p>
        </w:tc>
        <w:tc>
          <w:tcPr>
            <w:tcW w:w="2612" w:type="pct"/>
            <w:noWrap w:val="0"/>
            <w:vAlign w:val="center"/>
          </w:tcPr>
          <w:p w14:paraId="39B34AEB">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宾馆、旅馆、招待所、服务型公寓、有住宿功能的度假村等用地</w:t>
            </w:r>
          </w:p>
        </w:tc>
        <w:tc>
          <w:tcPr>
            <w:tcW w:w="738" w:type="pct"/>
            <w:noWrap w:val="0"/>
            <w:vAlign w:val="center"/>
          </w:tcPr>
          <w:p w14:paraId="07C393D8">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3E6900A5">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22DB73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71D37DAB">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32F7308A">
            <w:pPr>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52" w:type="pct"/>
            <w:noWrap w:val="0"/>
            <w:vAlign w:val="center"/>
          </w:tcPr>
          <w:p w14:paraId="181B307F">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公用设施营业网点用地</w:t>
            </w:r>
          </w:p>
        </w:tc>
        <w:tc>
          <w:tcPr>
            <w:tcW w:w="2612" w:type="pct"/>
            <w:noWrap w:val="0"/>
            <w:vAlign w:val="center"/>
          </w:tcPr>
          <w:p w14:paraId="52CB3BC6">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指零售加油、加气、充换电站、电信、邮政、供水、燃气、供电、供热等公用设施营业网点用地</w:t>
            </w:r>
          </w:p>
        </w:tc>
        <w:tc>
          <w:tcPr>
            <w:tcW w:w="738" w:type="pct"/>
            <w:noWrap w:val="0"/>
            <w:vAlign w:val="center"/>
          </w:tcPr>
          <w:p w14:paraId="30A795B1">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4BCDD981">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A6B02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6F1FB19B">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172879F0">
            <w:pPr>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商务金融用地</w:t>
            </w:r>
          </w:p>
        </w:tc>
        <w:tc>
          <w:tcPr>
            <w:tcW w:w="552" w:type="pct"/>
            <w:noWrap w:val="0"/>
            <w:vAlign w:val="center"/>
          </w:tcPr>
          <w:p w14:paraId="446B2E13">
            <w:pPr>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2612" w:type="pct"/>
            <w:noWrap w:val="0"/>
            <w:vAlign w:val="center"/>
          </w:tcPr>
          <w:p w14:paraId="008E5ACF">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指金融保险、艺术传媒、研发设计、技术服务、物流管理中心等综合性办公用地</w:t>
            </w:r>
          </w:p>
        </w:tc>
        <w:tc>
          <w:tcPr>
            <w:tcW w:w="738" w:type="pct"/>
            <w:noWrap w:val="0"/>
            <w:vAlign w:val="center"/>
          </w:tcPr>
          <w:p w14:paraId="21635F80">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6005E844">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0</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8</w:t>
            </w:r>
          </w:p>
        </w:tc>
      </w:tr>
      <w:tr w14:paraId="1D57A5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57F909DD">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7A9759AF">
            <w:pPr>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娱乐用地</w:t>
            </w:r>
          </w:p>
        </w:tc>
        <w:tc>
          <w:tcPr>
            <w:tcW w:w="552" w:type="pct"/>
            <w:noWrap w:val="0"/>
            <w:vAlign w:val="center"/>
          </w:tcPr>
          <w:p w14:paraId="10715441">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kern w:val="0"/>
                <w:sz w:val="15"/>
                <w:szCs w:val="15"/>
              </w:rPr>
              <w:t>娱乐用地</w:t>
            </w:r>
          </w:p>
        </w:tc>
        <w:tc>
          <w:tcPr>
            <w:tcW w:w="2612" w:type="pct"/>
            <w:noWrap w:val="0"/>
            <w:vAlign w:val="center"/>
          </w:tcPr>
          <w:p w14:paraId="4814FC09">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剧院、音乐厅、电影院、歌舞厅、网吧以及绿地率小于</w:t>
            </w:r>
            <w:r>
              <w:rPr>
                <w:rFonts w:hint="default" w:ascii="Times New Roman" w:hAnsi="Times New Roman" w:eastAsia="仿宋" w:cs="Times New Roman"/>
                <w:kern w:val="0"/>
                <w:sz w:val="15"/>
                <w:szCs w:val="15"/>
              </w:rPr>
              <w:t>65</w:t>
            </w:r>
            <w:r>
              <w:rPr>
                <w:rFonts w:hint="eastAsia" w:ascii="仿宋" w:hAnsi="仿宋" w:eastAsia="仿宋" w:cs="仿宋"/>
                <w:kern w:val="0"/>
                <w:sz w:val="15"/>
                <w:szCs w:val="15"/>
              </w:rPr>
              <w:t>%的大型游乐等设施用地</w:t>
            </w:r>
          </w:p>
        </w:tc>
        <w:tc>
          <w:tcPr>
            <w:tcW w:w="738" w:type="pct"/>
            <w:noWrap w:val="0"/>
            <w:vAlign w:val="center"/>
          </w:tcPr>
          <w:p w14:paraId="393B08A5">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6755D182">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0</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8</w:t>
            </w:r>
          </w:p>
        </w:tc>
      </w:tr>
      <w:tr w14:paraId="46E24F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1510CFEB">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1CF46C21">
            <w:pPr>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其他商业服务业用地</w:t>
            </w:r>
          </w:p>
        </w:tc>
        <w:tc>
          <w:tcPr>
            <w:tcW w:w="552" w:type="pct"/>
            <w:noWrap w:val="0"/>
            <w:vAlign w:val="center"/>
          </w:tcPr>
          <w:p w14:paraId="45F96855">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39EAAD1C">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除以上之外的商业服务业用地，包括以观光娱乐为目的的直升机停机坪等通用航空、汽车维修站以及宠物医院、洗车场、洗染店、照相馆、理发美容店、洗浴场所、废旧物资回收站、机动车、电子产品和日用产品修理网点、物流营业网点等用地</w:t>
            </w:r>
          </w:p>
        </w:tc>
        <w:tc>
          <w:tcPr>
            <w:tcW w:w="738" w:type="pct"/>
            <w:noWrap w:val="0"/>
            <w:vAlign w:val="center"/>
          </w:tcPr>
          <w:p w14:paraId="2B4992F5">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商业服务业用地</w:t>
            </w:r>
          </w:p>
        </w:tc>
        <w:tc>
          <w:tcPr>
            <w:tcW w:w="212" w:type="pct"/>
            <w:noWrap w:val="0"/>
            <w:vAlign w:val="center"/>
          </w:tcPr>
          <w:p w14:paraId="09A4BB78">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74166E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restart"/>
            <w:noWrap w:val="0"/>
            <w:vAlign w:val="center"/>
          </w:tcPr>
          <w:p w14:paraId="1E494E69">
            <w:pPr>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居住用地</w:t>
            </w:r>
          </w:p>
        </w:tc>
        <w:tc>
          <w:tcPr>
            <w:tcW w:w="4648" w:type="pct"/>
            <w:gridSpan w:val="5"/>
            <w:noWrap w:val="0"/>
            <w:vAlign w:val="center"/>
          </w:tcPr>
          <w:p w14:paraId="7864D708">
            <w:pPr>
              <w:widowControl/>
              <w:snapToGrid w:val="0"/>
              <w:spacing w:line="240" w:lineRule="auto"/>
              <w:ind w:firstLine="0" w:firstLineChars="0"/>
              <w:contextualSpacing/>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城乡住宅用地及其居住生活配套的社区服务设施用地</w:t>
            </w:r>
          </w:p>
        </w:tc>
      </w:tr>
      <w:tr w14:paraId="5F1ECE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3C0BAB19">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14DC9C36">
            <w:pPr>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城镇住宅用地</w:t>
            </w:r>
          </w:p>
        </w:tc>
        <w:tc>
          <w:tcPr>
            <w:tcW w:w="552" w:type="pct"/>
            <w:noWrap w:val="0"/>
            <w:vAlign w:val="center"/>
          </w:tcPr>
          <w:p w14:paraId="52DD2086">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49E7D6C1">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城乡住宅用地及其居住生活配套的社区服务设施用地</w:t>
            </w:r>
          </w:p>
        </w:tc>
        <w:tc>
          <w:tcPr>
            <w:tcW w:w="738" w:type="pct"/>
            <w:noWrap w:val="0"/>
            <w:vAlign w:val="center"/>
          </w:tcPr>
          <w:p w14:paraId="61B7E143">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居住用地</w:t>
            </w:r>
          </w:p>
        </w:tc>
        <w:tc>
          <w:tcPr>
            <w:tcW w:w="212" w:type="pct"/>
            <w:noWrap w:val="0"/>
            <w:vAlign w:val="center"/>
          </w:tcPr>
          <w:p w14:paraId="58559D37">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4D1979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7E2DEB16">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23B22C03">
            <w:pPr>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城镇社区服务设施用地</w:t>
            </w:r>
          </w:p>
        </w:tc>
        <w:tc>
          <w:tcPr>
            <w:tcW w:w="552" w:type="pct"/>
            <w:noWrap w:val="0"/>
            <w:vAlign w:val="center"/>
          </w:tcPr>
          <w:p w14:paraId="3824B25A">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10EA060F">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为城镇居住生活配套的社区服务设施用地，包括社区服务站以及托儿所、社区卫生服务站、文化活动站、小型综合体育场地、小型超市等用地，以及老年人日间照料中心（托老所）等社区养老服务设施用地，不包括中小学、幼儿园用地</w:t>
            </w:r>
          </w:p>
        </w:tc>
        <w:tc>
          <w:tcPr>
            <w:tcW w:w="738" w:type="pct"/>
            <w:noWrap w:val="0"/>
            <w:vAlign w:val="center"/>
          </w:tcPr>
          <w:p w14:paraId="48AAC069">
            <w:pPr>
              <w:widowControl/>
              <w:snapToGrid w:val="0"/>
              <w:spacing w:line="240" w:lineRule="auto"/>
              <w:ind w:left="0" w:leftChars="0"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居住用地</w:t>
            </w:r>
          </w:p>
        </w:tc>
        <w:tc>
          <w:tcPr>
            <w:tcW w:w="212" w:type="pct"/>
            <w:noWrap w:val="0"/>
            <w:vAlign w:val="center"/>
          </w:tcPr>
          <w:p w14:paraId="66FB1E59">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D95B0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51" w:type="pct"/>
            <w:vMerge w:val="restart"/>
            <w:noWrap w:val="0"/>
            <w:vAlign w:val="center"/>
          </w:tcPr>
          <w:p w14:paraId="6FF986C5">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工矿用地</w:t>
            </w:r>
          </w:p>
        </w:tc>
        <w:tc>
          <w:tcPr>
            <w:tcW w:w="4648" w:type="pct"/>
            <w:gridSpan w:val="5"/>
            <w:noWrap w:val="0"/>
            <w:vAlign w:val="center"/>
          </w:tcPr>
          <w:p w14:paraId="05BABC74">
            <w:pPr>
              <w:widowControl/>
              <w:snapToGrid w:val="0"/>
              <w:spacing w:line="240" w:lineRule="auto"/>
              <w:ind w:firstLine="0" w:firstLineChars="0"/>
              <w:contextualSpacing/>
              <w:jc w:val="left"/>
              <w:rPr>
                <w:rFonts w:hint="eastAsia" w:ascii="仿宋" w:hAnsi="仿宋" w:eastAsia="仿宋" w:cs="仿宋"/>
                <w:color w:val="000000"/>
                <w:kern w:val="0"/>
                <w:sz w:val="15"/>
                <w:szCs w:val="15"/>
              </w:rPr>
            </w:pPr>
            <w:r>
              <w:rPr>
                <w:rFonts w:hint="eastAsia" w:ascii="仿宋" w:hAnsi="仿宋" w:eastAsia="仿宋" w:cs="仿宋"/>
                <w:kern w:val="0"/>
                <w:sz w:val="15"/>
                <w:szCs w:val="15"/>
              </w:rPr>
              <w:t>指用于工矿业生产的土地</w:t>
            </w:r>
          </w:p>
        </w:tc>
      </w:tr>
      <w:tr w14:paraId="3D7C24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177D5B03">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46D765B1">
            <w:pPr>
              <w:widowControl/>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工业用地</w:t>
            </w:r>
          </w:p>
        </w:tc>
        <w:tc>
          <w:tcPr>
            <w:tcW w:w="552" w:type="pct"/>
            <w:noWrap w:val="0"/>
            <w:vAlign w:val="center"/>
          </w:tcPr>
          <w:p w14:paraId="20809112">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343BF9A2">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指工矿企业的生产车间、装备修理、自用库房及其附属设施用地，包括专用铁路、码头和附属道路、停车场等用地，不包括采矿用地</w:t>
            </w:r>
          </w:p>
        </w:tc>
        <w:tc>
          <w:tcPr>
            <w:tcW w:w="738" w:type="pct"/>
            <w:noWrap w:val="0"/>
            <w:vAlign w:val="center"/>
          </w:tcPr>
          <w:p w14:paraId="60DE7356">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工矿用地</w:t>
            </w:r>
          </w:p>
        </w:tc>
        <w:tc>
          <w:tcPr>
            <w:tcW w:w="212" w:type="pct"/>
            <w:noWrap w:val="0"/>
            <w:vAlign w:val="center"/>
          </w:tcPr>
          <w:p w14:paraId="17CD7CFA">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3D29A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51" w:type="pct"/>
            <w:vMerge w:val="continue"/>
            <w:noWrap w:val="0"/>
            <w:vAlign w:val="center"/>
          </w:tcPr>
          <w:p w14:paraId="2491859D">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44B35980">
            <w:pPr>
              <w:widowControl/>
              <w:snapToGrid w:val="0"/>
              <w:spacing w:line="240" w:lineRule="auto"/>
              <w:ind w:firstLine="0" w:firstLineChars="0"/>
              <w:contextualSpacing/>
              <w:jc w:val="center"/>
              <w:rPr>
                <w:rFonts w:hint="default" w:ascii="仿宋" w:hAnsi="仿宋" w:eastAsia="仿宋" w:cs="仿宋"/>
                <w:kern w:val="0"/>
                <w:sz w:val="15"/>
                <w:szCs w:val="15"/>
                <w:lang w:val="en-US" w:eastAsia="zh-CN"/>
              </w:rPr>
            </w:pPr>
            <w:r>
              <w:rPr>
                <w:rFonts w:hint="eastAsia" w:ascii="仿宋" w:hAnsi="仿宋" w:eastAsia="仿宋" w:cs="仿宋"/>
                <w:kern w:val="0"/>
                <w:sz w:val="15"/>
                <w:szCs w:val="15"/>
                <w:lang w:val="en-US" w:eastAsia="zh-CN"/>
              </w:rPr>
              <w:t>采矿用地</w:t>
            </w:r>
          </w:p>
        </w:tc>
        <w:tc>
          <w:tcPr>
            <w:tcW w:w="552" w:type="pct"/>
            <w:noWrap w:val="0"/>
            <w:vAlign w:val="center"/>
          </w:tcPr>
          <w:p w14:paraId="793BCB63">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4A8AFC10">
            <w:pPr>
              <w:widowControl/>
              <w:snapToGrid w:val="0"/>
              <w:spacing w:line="240" w:lineRule="auto"/>
              <w:ind w:firstLine="0" w:firstLineChars="0"/>
              <w:rPr>
                <w:rFonts w:hint="default" w:ascii="仿宋" w:hAnsi="仿宋" w:eastAsia="仿宋" w:cs="仿宋"/>
                <w:kern w:val="0"/>
                <w:sz w:val="15"/>
                <w:szCs w:val="15"/>
                <w:lang w:val="en-US" w:eastAsia="zh-CN"/>
              </w:rPr>
            </w:pPr>
            <w:r>
              <w:rPr>
                <w:rFonts w:hint="eastAsia" w:ascii="仿宋" w:hAnsi="仿宋" w:eastAsia="仿宋" w:cs="仿宋"/>
                <w:kern w:val="0"/>
                <w:sz w:val="15"/>
                <w:szCs w:val="15"/>
                <w:lang w:val="en-US" w:eastAsia="zh-CN"/>
              </w:rPr>
              <w:t>指采矿、采石、采砂(沙)场，砖瓦窑等地面生产用地，排土(石)及尾矿堆放地。</w:t>
            </w:r>
          </w:p>
        </w:tc>
        <w:tc>
          <w:tcPr>
            <w:tcW w:w="738" w:type="pct"/>
            <w:noWrap w:val="0"/>
            <w:vAlign w:val="center"/>
          </w:tcPr>
          <w:p w14:paraId="72F0E928">
            <w:pPr>
              <w:widowControl/>
              <w:snapToGrid w:val="0"/>
              <w:spacing w:line="240" w:lineRule="auto"/>
              <w:ind w:firstLine="0" w:firstLineChars="0"/>
              <w:contextualSpacing/>
              <w:jc w:val="center"/>
              <w:rPr>
                <w:rFonts w:hint="eastAsia" w:ascii="仿宋" w:hAnsi="仿宋" w:eastAsia="仿宋" w:cs="仿宋"/>
                <w:color w:val="000000"/>
                <w:spacing w:val="6"/>
                <w:kern w:val="0"/>
                <w:sz w:val="15"/>
                <w:szCs w:val="15"/>
                <w:lang w:val="en-US" w:eastAsia="zh-CN" w:bidi="ar-SA"/>
              </w:rPr>
            </w:pPr>
            <w:r>
              <w:rPr>
                <w:rFonts w:hint="eastAsia" w:ascii="仿宋" w:hAnsi="仿宋" w:eastAsia="仿宋" w:cs="仿宋"/>
                <w:color w:val="000000"/>
                <w:kern w:val="0"/>
                <w:sz w:val="15"/>
                <w:szCs w:val="15"/>
              </w:rPr>
              <w:t>工矿用地</w:t>
            </w:r>
          </w:p>
        </w:tc>
        <w:tc>
          <w:tcPr>
            <w:tcW w:w="212" w:type="pct"/>
            <w:noWrap w:val="0"/>
            <w:vAlign w:val="center"/>
          </w:tcPr>
          <w:p w14:paraId="41CB73A5">
            <w:pPr>
              <w:widowControl/>
              <w:snapToGrid w:val="0"/>
              <w:spacing w:line="240" w:lineRule="auto"/>
              <w:ind w:firstLine="0" w:firstLineChars="0"/>
              <w:contextualSpacing/>
              <w:jc w:val="center"/>
              <w:rPr>
                <w:rFonts w:hint="eastAsia" w:ascii="仿宋" w:hAnsi="仿宋" w:eastAsia="仿宋" w:cs="仿宋"/>
                <w:color w:val="000000"/>
                <w:spacing w:val="6"/>
                <w:kern w:val="0"/>
                <w:sz w:val="15"/>
                <w:szCs w:val="15"/>
                <w:lang w:val="en-US" w:eastAsia="zh-CN" w:bidi="ar-SA"/>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EE89C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1" w:type="pct"/>
            <w:vMerge w:val="restart"/>
            <w:noWrap w:val="0"/>
            <w:vAlign w:val="center"/>
          </w:tcPr>
          <w:p w14:paraId="68D0265E">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仓储用地</w:t>
            </w:r>
          </w:p>
        </w:tc>
        <w:tc>
          <w:tcPr>
            <w:tcW w:w="4648" w:type="pct"/>
            <w:gridSpan w:val="5"/>
            <w:noWrap w:val="0"/>
            <w:vAlign w:val="center"/>
          </w:tcPr>
          <w:p w14:paraId="34B68722">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物流仓储和战略性物资储备库用地</w:t>
            </w:r>
          </w:p>
        </w:tc>
      </w:tr>
      <w:tr w14:paraId="5D8572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D950353">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62FCE366">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物流仓储用地</w:t>
            </w:r>
          </w:p>
        </w:tc>
        <w:tc>
          <w:tcPr>
            <w:tcW w:w="552" w:type="pct"/>
            <w:noWrap w:val="0"/>
            <w:vAlign w:val="center"/>
          </w:tcPr>
          <w:p w14:paraId="03A88992">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06A59CB3">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指国家和省级战略性储备库以外，城、镇、村用于物资存储、中转、配送等设施用地，包括附属设施、道路、停车场等用地</w:t>
            </w:r>
          </w:p>
        </w:tc>
        <w:tc>
          <w:tcPr>
            <w:tcW w:w="738" w:type="pct"/>
            <w:noWrap w:val="0"/>
            <w:vAlign w:val="center"/>
          </w:tcPr>
          <w:p w14:paraId="196A567B">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工矿用地</w:t>
            </w:r>
          </w:p>
        </w:tc>
        <w:tc>
          <w:tcPr>
            <w:tcW w:w="212" w:type="pct"/>
            <w:noWrap w:val="0"/>
            <w:vAlign w:val="center"/>
          </w:tcPr>
          <w:p w14:paraId="6DABBD5E">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012EF4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restart"/>
            <w:noWrap w:val="0"/>
            <w:vAlign w:val="center"/>
          </w:tcPr>
          <w:p w14:paraId="329F9937">
            <w:pPr>
              <w:snapToGrid w:val="0"/>
              <w:spacing w:line="240" w:lineRule="auto"/>
              <w:ind w:firstLine="0" w:firstLineChars="0"/>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公共管理与公共服务用地</w:t>
            </w:r>
          </w:p>
        </w:tc>
        <w:tc>
          <w:tcPr>
            <w:tcW w:w="4648" w:type="pct"/>
            <w:gridSpan w:val="5"/>
            <w:noWrap w:val="0"/>
            <w:vAlign w:val="center"/>
          </w:tcPr>
          <w:p w14:paraId="3064B56E">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kern w:val="0"/>
                <w:sz w:val="15"/>
                <w:szCs w:val="15"/>
              </w:rPr>
              <w:t>指机关团体、科研、文化、教育、体育、</w:t>
            </w:r>
            <w:r>
              <w:rPr>
                <w:rFonts w:hint="eastAsia" w:ascii="仿宋" w:hAnsi="仿宋" w:eastAsia="仿宋" w:cs="仿宋"/>
                <w:kern w:val="0"/>
                <w:sz w:val="15"/>
                <w:szCs w:val="15"/>
                <w:lang w:val="en-US" w:eastAsia="zh-CN"/>
              </w:rPr>
              <w:t>医疗</w:t>
            </w:r>
            <w:r>
              <w:rPr>
                <w:rFonts w:hint="eastAsia" w:ascii="仿宋" w:hAnsi="仿宋" w:eastAsia="仿宋" w:cs="仿宋"/>
                <w:kern w:val="0"/>
                <w:sz w:val="15"/>
                <w:szCs w:val="15"/>
              </w:rPr>
              <w:t>卫生、社会福利等机构和设施的用地，不包括农村社区服务设施用地和城镇社区服务设施用地</w:t>
            </w:r>
          </w:p>
        </w:tc>
      </w:tr>
      <w:tr w14:paraId="50F586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A3FBC5C">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2C1B114E">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机关团体用地</w:t>
            </w:r>
          </w:p>
        </w:tc>
        <w:tc>
          <w:tcPr>
            <w:tcW w:w="552" w:type="pct"/>
            <w:noWrap w:val="0"/>
            <w:vAlign w:val="center"/>
          </w:tcPr>
          <w:p w14:paraId="117CEE54">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1B8F359F">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指党政机关、人民团体及其相关直属机构、派出机构和直属事业单位的办公及附属设施用地</w:t>
            </w:r>
          </w:p>
        </w:tc>
        <w:tc>
          <w:tcPr>
            <w:tcW w:w="738" w:type="pct"/>
            <w:noWrap w:val="0"/>
            <w:vAlign w:val="center"/>
          </w:tcPr>
          <w:p w14:paraId="37C3CC43">
            <w:pPr>
              <w:widowControl/>
              <w:snapToGrid w:val="0"/>
              <w:spacing w:line="240" w:lineRule="auto"/>
              <w:ind w:left="0" w:leftChars="0" w:firstLine="0" w:firstLineChars="0"/>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公共管理与公共服务用地</w:t>
            </w:r>
          </w:p>
        </w:tc>
        <w:tc>
          <w:tcPr>
            <w:tcW w:w="212" w:type="pct"/>
            <w:noWrap w:val="0"/>
            <w:vAlign w:val="center"/>
          </w:tcPr>
          <w:p w14:paraId="7341E484">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BA33E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3F41661F">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7E9C5E6D">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科研用地</w:t>
            </w:r>
          </w:p>
        </w:tc>
        <w:tc>
          <w:tcPr>
            <w:tcW w:w="552" w:type="pct"/>
            <w:tcBorders>
              <w:bottom w:val="single" w:color="auto" w:sz="4" w:space="0"/>
            </w:tcBorders>
            <w:noWrap w:val="0"/>
            <w:vAlign w:val="center"/>
          </w:tcPr>
          <w:p w14:paraId="43E443EF">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303CFB68">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科研机构及其科研设施用地</w:t>
            </w:r>
          </w:p>
        </w:tc>
        <w:tc>
          <w:tcPr>
            <w:tcW w:w="738" w:type="pct"/>
            <w:noWrap w:val="0"/>
            <w:vAlign w:val="center"/>
          </w:tcPr>
          <w:p w14:paraId="14DE40F8">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noWrap w:val="0"/>
            <w:vAlign w:val="center"/>
          </w:tcPr>
          <w:p w14:paraId="3FF3593F">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3D39EB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3DFA64CF">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501EC77A">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文化用地</w:t>
            </w:r>
          </w:p>
        </w:tc>
        <w:tc>
          <w:tcPr>
            <w:tcW w:w="552" w:type="pct"/>
            <w:tcBorders>
              <w:top w:val="single" w:color="auto" w:sz="4" w:space="0"/>
            </w:tcBorders>
            <w:noWrap w:val="0"/>
            <w:vAlign w:val="center"/>
          </w:tcPr>
          <w:p w14:paraId="600E8B02">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tcBorders>
              <w:bottom w:val="single" w:color="auto" w:sz="4" w:space="0"/>
            </w:tcBorders>
            <w:noWrap w:val="0"/>
            <w:vAlign w:val="center"/>
          </w:tcPr>
          <w:p w14:paraId="322C5ED4">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图书、展览等公共文化活动设施用地</w:t>
            </w:r>
          </w:p>
        </w:tc>
        <w:tc>
          <w:tcPr>
            <w:tcW w:w="738" w:type="pct"/>
            <w:tcBorders>
              <w:bottom w:val="single" w:color="auto" w:sz="4" w:space="0"/>
            </w:tcBorders>
            <w:noWrap w:val="0"/>
            <w:vAlign w:val="center"/>
          </w:tcPr>
          <w:p w14:paraId="5BF174B9">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tcBorders>
              <w:bottom w:val="single" w:color="auto" w:sz="4" w:space="0"/>
            </w:tcBorders>
            <w:noWrap w:val="0"/>
            <w:vAlign w:val="center"/>
          </w:tcPr>
          <w:p w14:paraId="7CC77994">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36F160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1A5CE567">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40CDED01">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教育用地</w:t>
            </w:r>
          </w:p>
        </w:tc>
        <w:tc>
          <w:tcPr>
            <w:tcW w:w="552" w:type="pct"/>
            <w:noWrap w:val="0"/>
            <w:vAlign w:val="center"/>
          </w:tcPr>
          <w:p w14:paraId="56FB76E0">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tcBorders>
              <w:top w:val="single" w:color="auto" w:sz="4" w:space="0"/>
            </w:tcBorders>
            <w:noWrap w:val="0"/>
            <w:vAlign w:val="center"/>
          </w:tcPr>
          <w:p w14:paraId="2EAF26F4">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高等教育、中等职业教育、中小学教育、幼儿园、特殊教育设施等用地，包括为学校配建的独立地段的学生生活用地</w:t>
            </w:r>
          </w:p>
        </w:tc>
        <w:tc>
          <w:tcPr>
            <w:tcW w:w="738" w:type="pct"/>
            <w:tcBorders>
              <w:top w:val="single" w:color="auto" w:sz="4" w:space="0"/>
            </w:tcBorders>
            <w:noWrap w:val="0"/>
            <w:vAlign w:val="center"/>
          </w:tcPr>
          <w:p w14:paraId="4C8F8920">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tcBorders>
              <w:top w:val="single" w:color="auto" w:sz="4" w:space="0"/>
            </w:tcBorders>
            <w:noWrap w:val="0"/>
            <w:vAlign w:val="center"/>
          </w:tcPr>
          <w:p w14:paraId="1200ECF4">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2FE9D1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A5D03DF">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3B725AC3">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体育用地</w:t>
            </w:r>
          </w:p>
        </w:tc>
        <w:tc>
          <w:tcPr>
            <w:tcW w:w="552" w:type="pct"/>
            <w:noWrap w:val="0"/>
            <w:vAlign w:val="center"/>
          </w:tcPr>
          <w:p w14:paraId="5F43CDFB">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4C29A0B0">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体育场馆和体育训练基地等用地，不包括学校、企事业、军队等机构内部专用的体育设施用地</w:t>
            </w:r>
          </w:p>
        </w:tc>
        <w:tc>
          <w:tcPr>
            <w:tcW w:w="738" w:type="pct"/>
            <w:noWrap w:val="0"/>
            <w:vAlign w:val="center"/>
          </w:tcPr>
          <w:p w14:paraId="5EF447A2">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noWrap w:val="0"/>
            <w:vAlign w:val="center"/>
          </w:tcPr>
          <w:p w14:paraId="32631F27">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74024C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DB0E5CB">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5346B9D9">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医疗卫生用地</w:t>
            </w:r>
          </w:p>
        </w:tc>
        <w:tc>
          <w:tcPr>
            <w:tcW w:w="552" w:type="pct"/>
            <w:noWrap w:val="0"/>
            <w:vAlign w:val="center"/>
          </w:tcPr>
          <w:p w14:paraId="78A6436E">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14C9F340">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医疗、预防、保健、护理、康复、急救、安宁疗护等用地</w:t>
            </w:r>
          </w:p>
        </w:tc>
        <w:tc>
          <w:tcPr>
            <w:tcW w:w="738" w:type="pct"/>
            <w:tcBorders>
              <w:bottom w:val="single" w:color="auto" w:sz="4" w:space="0"/>
            </w:tcBorders>
            <w:noWrap w:val="0"/>
            <w:vAlign w:val="center"/>
          </w:tcPr>
          <w:p w14:paraId="2FEC69E8">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tcBorders>
              <w:bottom w:val="single" w:color="auto" w:sz="4" w:space="0"/>
            </w:tcBorders>
            <w:noWrap w:val="0"/>
            <w:vAlign w:val="center"/>
          </w:tcPr>
          <w:p w14:paraId="3D7E0224">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78A6B7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746779E5">
            <w:pPr>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2CE77B97">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社会福利用地</w:t>
            </w:r>
          </w:p>
        </w:tc>
        <w:tc>
          <w:tcPr>
            <w:tcW w:w="552" w:type="pct"/>
            <w:noWrap w:val="0"/>
            <w:vAlign w:val="center"/>
          </w:tcPr>
          <w:p w14:paraId="06F08ED6">
            <w:pPr>
              <w:widowControl/>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30FB6897">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kern w:val="0"/>
                <w:sz w:val="15"/>
                <w:szCs w:val="15"/>
              </w:rPr>
              <w:t>指为老年人、儿童及残疾人等提供社会福利和慈善服务的设施用地</w:t>
            </w:r>
          </w:p>
        </w:tc>
        <w:tc>
          <w:tcPr>
            <w:tcW w:w="738" w:type="pct"/>
            <w:tcBorders>
              <w:top w:val="single" w:color="auto" w:sz="4" w:space="0"/>
            </w:tcBorders>
            <w:noWrap w:val="0"/>
            <w:vAlign w:val="center"/>
          </w:tcPr>
          <w:p w14:paraId="01E9A05A">
            <w:pPr>
              <w:snapToGrid w:val="0"/>
              <w:spacing w:line="240" w:lineRule="auto"/>
              <w:ind w:left="0" w:leftChars="0" w:firstLine="0" w:firstLineChars="0"/>
              <w:jc w:val="both"/>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tcBorders>
              <w:top w:val="single" w:color="auto" w:sz="4" w:space="0"/>
            </w:tcBorders>
            <w:noWrap w:val="0"/>
            <w:vAlign w:val="center"/>
          </w:tcPr>
          <w:p w14:paraId="3A09FF65">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0</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8</w:t>
            </w:r>
          </w:p>
        </w:tc>
      </w:tr>
      <w:tr w14:paraId="3AB176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restart"/>
            <w:noWrap w:val="0"/>
            <w:vAlign w:val="center"/>
          </w:tcPr>
          <w:p w14:paraId="62FE8E0C">
            <w:pPr>
              <w:snapToGrid w:val="0"/>
              <w:spacing w:line="240" w:lineRule="auto"/>
              <w:ind w:firstLine="0" w:firstLineChars="0"/>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公用设施</w:t>
            </w:r>
          </w:p>
          <w:p w14:paraId="499C5586">
            <w:pPr>
              <w:snapToGrid w:val="0"/>
              <w:spacing w:line="240" w:lineRule="auto"/>
              <w:ind w:firstLine="0" w:firstLineChars="0"/>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用地</w:t>
            </w:r>
          </w:p>
        </w:tc>
        <w:tc>
          <w:tcPr>
            <w:tcW w:w="4648" w:type="pct"/>
            <w:gridSpan w:val="5"/>
            <w:noWrap w:val="0"/>
            <w:vAlign w:val="center"/>
          </w:tcPr>
          <w:p w14:paraId="1A809763">
            <w:pPr>
              <w:widowControl/>
              <w:snapToGrid w:val="0"/>
              <w:spacing w:line="240" w:lineRule="auto"/>
              <w:ind w:firstLine="0" w:firstLineChars="0"/>
              <w:jc w:val="left"/>
              <w:rPr>
                <w:rFonts w:hint="eastAsia" w:ascii="仿宋" w:hAnsi="仿宋" w:eastAsia="仿宋" w:cs="仿宋"/>
                <w:color w:val="000000"/>
                <w:kern w:val="0"/>
                <w:sz w:val="15"/>
                <w:szCs w:val="15"/>
              </w:rPr>
            </w:pPr>
            <w:r>
              <w:rPr>
                <w:rFonts w:hint="eastAsia" w:ascii="仿宋" w:hAnsi="仿宋" w:eastAsia="仿宋" w:cs="仿宋"/>
                <w:kern w:val="0"/>
                <w:sz w:val="15"/>
                <w:szCs w:val="15"/>
              </w:rPr>
              <w:t>指用于城乡和区域基础设施的供水、排水、供电、供燃气、供热、通信、邮政、广播电视、环卫、消防、干渠、水工等设施用地</w:t>
            </w:r>
          </w:p>
        </w:tc>
      </w:tr>
      <w:tr w14:paraId="71BB10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2CF85B8">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0BB88011">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供水用地</w:t>
            </w:r>
          </w:p>
        </w:tc>
        <w:tc>
          <w:tcPr>
            <w:tcW w:w="552" w:type="pct"/>
            <w:noWrap w:val="0"/>
            <w:vAlign w:val="center"/>
          </w:tcPr>
          <w:p w14:paraId="796EBC3A">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3279AFAE">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取水设施、供水厂、再生水厂、加压泵站、高位水池等设施用地</w:t>
            </w:r>
          </w:p>
        </w:tc>
        <w:tc>
          <w:tcPr>
            <w:tcW w:w="738" w:type="pct"/>
            <w:noWrap w:val="0"/>
            <w:vAlign w:val="center"/>
          </w:tcPr>
          <w:p w14:paraId="63103C41">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43D75164">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E260A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D93FFB6">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7B882706">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排水用地</w:t>
            </w:r>
          </w:p>
        </w:tc>
        <w:tc>
          <w:tcPr>
            <w:tcW w:w="552" w:type="pct"/>
            <w:noWrap w:val="0"/>
            <w:vAlign w:val="center"/>
          </w:tcPr>
          <w:p w14:paraId="36FDC27D">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7221D0DD">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雨水泵站、污水泵站、污水处理、污泥处理厂等设施及其附属的构筑物用地，不包括排水河渠用地</w:t>
            </w:r>
          </w:p>
        </w:tc>
        <w:tc>
          <w:tcPr>
            <w:tcW w:w="738" w:type="pct"/>
            <w:noWrap w:val="0"/>
            <w:vAlign w:val="center"/>
          </w:tcPr>
          <w:p w14:paraId="3D7BCF39">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6208F0CB">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0EEE7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575F463E">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42D2BBC7">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供电用地</w:t>
            </w:r>
          </w:p>
        </w:tc>
        <w:tc>
          <w:tcPr>
            <w:tcW w:w="552" w:type="pct"/>
            <w:noWrap w:val="0"/>
            <w:vAlign w:val="center"/>
          </w:tcPr>
          <w:p w14:paraId="2EA67FBB">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164105F7">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变电站、开关站、环网柜等设施用地，不包括电厂等工业用地。高压走廊下规定的控制范围内的用地应按其地面实际用途归类</w:t>
            </w:r>
          </w:p>
        </w:tc>
        <w:tc>
          <w:tcPr>
            <w:tcW w:w="738" w:type="pct"/>
            <w:noWrap w:val="0"/>
            <w:vAlign w:val="center"/>
          </w:tcPr>
          <w:p w14:paraId="497B5CDF">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693A710B">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9A7EC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085E98F">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03F0538F">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供燃气用地</w:t>
            </w:r>
          </w:p>
        </w:tc>
        <w:tc>
          <w:tcPr>
            <w:tcW w:w="552" w:type="pct"/>
            <w:noWrap w:val="0"/>
            <w:vAlign w:val="center"/>
          </w:tcPr>
          <w:p w14:paraId="0D7D99C2">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4E9766C7">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分输站、调压站、门站、供气站、储配站、气化站、灌瓶站和地面输气管</w:t>
            </w:r>
            <w:r>
              <w:rPr>
                <w:rFonts w:hint="eastAsia" w:ascii="仿宋" w:hAnsi="仿宋" w:eastAsia="仿宋" w:cs="仿宋"/>
                <w:color w:val="000000"/>
                <w:kern w:val="0"/>
                <w:sz w:val="15"/>
                <w:szCs w:val="15"/>
              </w:rPr>
              <w:t>廊</w:t>
            </w:r>
            <w:r>
              <w:rPr>
                <w:rFonts w:hint="eastAsia" w:ascii="仿宋" w:hAnsi="仿宋" w:eastAsia="仿宋" w:cs="仿宋"/>
                <w:kern w:val="0"/>
                <w:sz w:val="15"/>
                <w:szCs w:val="15"/>
              </w:rPr>
              <w:t>等设施用地，不包括制气厂等工业用地</w:t>
            </w:r>
          </w:p>
        </w:tc>
        <w:tc>
          <w:tcPr>
            <w:tcW w:w="738" w:type="pct"/>
            <w:noWrap w:val="0"/>
            <w:vAlign w:val="center"/>
          </w:tcPr>
          <w:p w14:paraId="282303CA">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5FB61F2F">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031E15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546CF7FA">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798F450F">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供热用地</w:t>
            </w:r>
          </w:p>
        </w:tc>
        <w:tc>
          <w:tcPr>
            <w:tcW w:w="552" w:type="pct"/>
            <w:noWrap w:val="0"/>
            <w:vAlign w:val="center"/>
          </w:tcPr>
          <w:p w14:paraId="3297F0CB">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7EDD115C">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集中供热厂、换热站、区域能源站、分布式能源站和地面输热管</w:t>
            </w:r>
            <w:r>
              <w:rPr>
                <w:rFonts w:hint="eastAsia" w:ascii="仿宋" w:hAnsi="仿宋" w:eastAsia="仿宋" w:cs="仿宋"/>
                <w:color w:val="000000"/>
                <w:kern w:val="0"/>
                <w:sz w:val="15"/>
                <w:szCs w:val="15"/>
              </w:rPr>
              <w:t>廊</w:t>
            </w:r>
            <w:r>
              <w:rPr>
                <w:rFonts w:hint="eastAsia" w:ascii="仿宋" w:hAnsi="仿宋" w:eastAsia="仿宋" w:cs="仿宋"/>
                <w:kern w:val="0"/>
                <w:sz w:val="15"/>
                <w:szCs w:val="15"/>
              </w:rPr>
              <w:t>等设施用地</w:t>
            </w:r>
          </w:p>
        </w:tc>
        <w:tc>
          <w:tcPr>
            <w:tcW w:w="738" w:type="pct"/>
            <w:noWrap w:val="0"/>
            <w:vAlign w:val="center"/>
          </w:tcPr>
          <w:p w14:paraId="107B24C0">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4FA6E286">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F3856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0B4D15AA">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58E2E923">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通信用地</w:t>
            </w:r>
          </w:p>
        </w:tc>
        <w:tc>
          <w:tcPr>
            <w:tcW w:w="552" w:type="pct"/>
            <w:noWrap w:val="0"/>
            <w:vAlign w:val="center"/>
          </w:tcPr>
          <w:p w14:paraId="457C0054">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59A97EDB">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通信铁塔、基站、卫星地球站、海缆登陆站、电信局、微波站、中继站等设施用地</w:t>
            </w:r>
          </w:p>
        </w:tc>
        <w:tc>
          <w:tcPr>
            <w:tcW w:w="738" w:type="pct"/>
            <w:noWrap w:val="0"/>
            <w:vAlign w:val="center"/>
          </w:tcPr>
          <w:p w14:paraId="066A9D78">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5682D49D">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2CC762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5243FD96">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58463E1F">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邮政用地</w:t>
            </w:r>
          </w:p>
        </w:tc>
        <w:tc>
          <w:tcPr>
            <w:tcW w:w="552" w:type="pct"/>
            <w:noWrap w:val="0"/>
            <w:vAlign w:val="center"/>
          </w:tcPr>
          <w:p w14:paraId="6A8F0A88">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02C2ABE1">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邮政中心局、邮政支局（所）、邮件处理中心等设施用地</w:t>
            </w:r>
          </w:p>
        </w:tc>
        <w:tc>
          <w:tcPr>
            <w:tcW w:w="738" w:type="pct"/>
            <w:noWrap w:val="0"/>
            <w:vAlign w:val="center"/>
          </w:tcPr>
          <w:p w14:paraId="6FE5DFE1">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064E01A6">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2F060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763F2C6F">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77EE4243">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广播电视设施用地</w:t>
            </w:r>
          </w:p>
        </w:tc>
        <w:tc>
          <w:tcPr>
            <w:tcW w:w="552" w:type="pct"/>
            <w:noWrap w:val="0"/>
            <w:vAlign w:val="center"/>
          </w:tcPr>
          <w:p w14:paraId="248FB9CA">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44CB66E2">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广播电视的发射、传输和监测设施用地，包括无线电收信区、发信区以及广播电视发射台、转播台、差转台、监测站等设施用地</w:t>
            </w:r>
          </w:p>
        </w:tc>
        <w:tc>
          <w:tcPr>
            <w:tcW w:w="738" w:type="pct"/>
            <w:noWrap w:val="0"/>
            <w:vAlign w:val="center"/>
          </w:tcPr>
          <w:p w14:paraId="77651BE3">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0618C4DA">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143A01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4D37A0BA">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12ECE4CC">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环卫用地</w:t>
            </w:r>
          </w:p>
        </w:tc>
        <w:tc>
          <w:tcPr>
            <w:tcW w:w="552" w:type="pct"/>
            <w:noWrap w:val="0"/>
            <w:vAlign w:val="center"/>
          </w:tcPr>
          <w:p w14:paraId="747006A7">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12EE7D59">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kern w:val="0"/>
                <w:sz w:val="15"/>
                <w:szCs w:val="15"/>
              </w:rPr>
              <w:t>指生活垃圾、医疗垃圾、危险废物处理和处置，以及垃圾转运、公厕、车辆清洗、环卫车辆停放修理等设施用地</w:t>
            </w:r>
          </w:p>
        </w:tc>
        <w:tc>
          <w:tcPr>
            <w:tcW w:w="738" w:type="pct"/>
            <w:noWrap w:val="0"/>
            <w:vAlign w:val="center"/>
          </w:tcPr>
          <w:p w14:paraId="38B76C0B">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1B941BF5">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1AFAB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16FD7D69">
            <w:pPr>
              <w:widowControl/>
              <w:snapToGrid w:val="0"/>
              <w:spacing w:line="240" w:lineRule="auto"/>
              <w:ind w:firstLine="0" w:firstLineChars="0"/>
              <w:jc w:val="center"/>
              <w:rPr>
                <w:rFonts w:hint="eastAsia" w:ascii="仿宋" w:hAnsi="仿宋" w:eastAsia="仿宋" w:cs="仿宋"/>
                <w:color w:val="000000"/>
                <w:kern w:val="0"/>
                <w:sz w:val="15"/>
                <w:szCs w:val="15"/>
              </w:rPr>
            </w:pPr>
          </w:p>
        </w:tc>
        <w:tc>
          <w:tcPr>
            <w:tcW w:w="533" w:type="pct"/>
            <w:noWrap w:val="0"/>
            <w:vAlign w:val="center"/>
          </w:tcPr>
          <w:p w14:paraId="573E35F4">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消防用地</w:t>
            </w:r>
          </w:p>
        </w:tc>
        <w:tc>
          <w:tcPr>
            <w:tcW w:w="552" w:type="pct"/>
            <w:noWrap w:val="0"/>
            <w:vAlign w:val="center"/>
          </w:tcPr>
          <w:p w14:paraId="0B9C91B7">
            <w:pPr>
              <w:snapToGrid w:val="0"/>
              <w:spacing w:line="240" w:lineRule="auto"/>
              <w:ind w:firstLine="0" w:firstLineChars="0"/>
              <w:jc w:val="center"/>
              <w:rPr>
                <w:rFonts w:hint="eastAsia" w:ascii="仿宋" w:hAnsi="仿宋" w:eastAsia="仿宋" w:cs="仿宋"/>
                <w:kern w:val="0"/>
                <w:sz w:val="15"/>
                <w:szCs w:val="15"/>
              </w:rPr>
            </w:pPr>
          </w:p>
        </w:tc>
        <w:tc>
          <w:tcPr>
            <w:tcW w:w="2612" w:type="pct"/>
            <w:noWrap w:val="0"/>
            <w:vAlign w:val="center"/>
          </w:tcPr>
          <w:p w14:paraId="02613432">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消防站、消防通信及指挥训练中心等设施用地</w:t>
            </w:r>
          </w:p>
        </w:tc>
        <w:tc>
          <w:tcPr>
            <w:tcW w:w="738" w:type="pct"/>
            <w:noWrap w:val="0"/>
            <w:vAlign w:val="center"/>
          </w:tcPr>
          <w:p w14:paraId="253448D1">
            <w:pPr>
              <w:snapToGrid w:val="0"/>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50BD532C">
            <w:pPr>
              <w:widowControl/>
              <w:snapToGrid w:val="0"/>
              <w:spacing w:line="240" w:lineRule="auto"/>
              <w:ind w:firstLine="0" w:firstLineChars="0"/>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250149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restart"/>
            <w:noWrap w:val="0"/>
            <w:vAlign w:val="center"/>
          </w:tcPr>
          <w:p w14:paraId="77BE7B1A">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交通运输</w:t>
            </w:r>
          </w:p>
          <w:p w14:paraId="024AF170">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用地</w:t>
            </w:r>
          </w:p>
        </w:tc>
        <w:tc>
          <w:tcPr>
            <w:tcW w:w="4648" w:type="pct"/>
            <w:gridSpan w:val="5"/>
            <w:noWrap w:val="0"/>
            <w:vAlign w:val="center"/>
          </w:tcPr>
          <w:p w14:paraId="691DB7EC">
            <w:pPr>
              <w:widowControl/>
              <w:snapToGrid w:val="0"/>
              <w:spacing w:line="240" w:lineRule="auto"/>
              <w:ind w:firstLine="0" w:firstLineChars="0"/>
              <w:contextualSpacing/>
              <w:jc w:val="left"/>
              <w:rPr>
                <w:rFonts w:hint="eastAsia" w:ascii="仿宋" w:hAnsi="仿宋" w:eastAsia="仿宋" w:cs="仿宋"/>
                <w:color w:val="000000"/>
                <w:kern w:val="0"/>
                <w:sz w:val="15"/>
                <w:szCs w:val="15"/>
              </w:rPr>
            </w:pPr>
            <w:r>
              <w:rPr>
                <w:rFonts w:hint="eastAsia" w:ascii="仿宋" w:hAnsi="仿宋" w:eastAsia="仿宋" w:cs="仿宋"/>
                <w:kern w:val="0"/>
                <w:sz w:val="15"/>
                <w:szCs w:val="15"/>
              </w:rPr>
              <w:t>指铁路、公路、机场、港口码头、管道运输、城市轨道交通、各种道路以及交通场站等交通运输设施及其附属设施用地，不包括其他用地内的附属道路、停车场等用地</w:t>
            </w:r>
          </w:p>
        </w:tc>
      </w:tr>
      <w:tr w14:paraId="72B1E5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2995641">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0830479E">
            <w:pPr>
              <w:widowControl/>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铁路用地</w:t>
            </w:r>
          </w:p>
        </w:tc>
        <w:tc>
          <w:tcPr>
            <w:tcW w:w="552" w:type="pct"/>
            <w:noWrap w:val="0"/>
            <w:vAlign w:val="center"/>
          </w:tcPr>
          <w:p w14:paraId="1AAFCC08">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519A9B3C">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kern w:val="0"/>
                <w:sz w:val="15"/>
                <w:szCs w:val="15"/>
              </w:rPr>
              <w:t>指铁路编组站、轨道线路（</w:t>
            </w:r>
            <w:r>
              <w:rPr>
                <w:rFonts w:hint="eastAsia" w:ascii="仿宋" w:hAnsi="仿宋" w:eastAsia="仿宋" w:cs="仿宋"/>
                <w:color w:val="000000"/>
                <w:kern w:val="0"/>
                <w:sz w:val="15"/>
                <w:szCs w:val="15"/>
              </w:rPr>
              <w:t>含</w:t>
            </w:r>
            <w:r>
              <w:rPr>
                <w:rFonts w:hint="eastAsia" w:ascii="仿宋" w:hAnsi="仿宋" w:eastAsia="仿宋" w:cs="仿宋"/>
                <w:kern w:val="0"/>
                <w:sz w:val="15"/>
                <w:szCs w:val="15"/>
              </w:rPr>
              <w:t>城际轨道）等用地，不包括铁路客货运站等交通场站用地</w:t>
            </w:r>
          </w:p>
        </w:tc>
        <w:tc>
          <w:tcPr>
            <w:tcW w:w="738" w:type="pct"/>
            <w:noWrap w:val="0"/>
            <w:vAlign w:val="center"/>
          </w:tcPr>
          <w:p w14:paraId="109D8114">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3049B7F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BFB63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491C56B9">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20A554BE">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公路用地</w:t>
            </w:r>
          </w:p>
        </w:tc>
        <w:tc>
          <w:tcPr>
            <w:tcW w:w="552" w:type="pct"/>
            <w:noWrap w:val="0"/>
            <w:vAlign w:val="center"/>
          </w:tcPr>
          <w:p w14:paraId="785DAEEB">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30DB4540">
            <w:pPr>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kern w:val="0"/>
                <w:sz w:val="15"/>
                <w:szCs w:val="15"/>
              </w:rPr>
              <w:t>指国道、省道、县道和乡道用地及附属设施用地，不包括已纳入城镇集中连片建成区，发挥城镇内部道路功能的路段，以及公路长途客货运站等交通场站用地</w:t>
            </w:r>
          </w:p>
        </w:tc>
        <w:tc>
          <w:tcPr>
            <w:tcW w:w="738" w:type="pct"/>
            <w:noWrap w:val="0"/>
            <w:vAlign w:val="center"/>
          </w:tcPr>
          <w:p w14:paraId="296FA011">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2776DE1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0B9E1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F4E5C46">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0C81D31C">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机场用地</w:t>
            </w:r>
          </w:p>
        </w:tc>
        <w:tc>
          <w:tcPr>
            <w:tcW w:w="552" w:type="pct"/>
            <w:noWrap w:val="0"/>
            <w:vAlign w:val="center"/>
          </w:tcPr>
          <w:p w14:paraId="293DC255">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12E47019">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民用及军民合用的机场用地，包括飞行区、航站区等用地，不包括净空控制范围内的其他用地</w:t>
            </w:r>
          </w:p>
        </w:tc>
        <w:tc>
          <w:tcPr>
            <w:tcW w:w="738" w:type="pct"/>
            <w:noWrap w:val="0"/>
            <w:vAlign w:val="center"/>
          </w:tcPr>
          <w:p w14:paraId="4B638DA2">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3470DED3">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329DC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45E5A12F">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2D0342E2">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管道运输用地</w:t>
            </w:r>
          </w:p>
        </w:tc>
        <w:tc>
          <w:tcPr>
            <w:tcW w:w="552" w:type="pct"/>
            <w:noWrap w:val="0"/>
            <w:vAlign w:val="center"/>
          </w:tcPr>
          <w:p w14:paraId="39031DE7">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4A9207CE">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kern w:val="0"/>
                <w:sz w:val="15"/>
                <w:szCs w:val="15"/>
              </w:rPr>
              <w:t>指运输矿石、石油和天然气等地面管道运输用地，地下管道运输规定的地面控制范围内的用地应按其地面实际用途归类</w:t>
            </w:r>
          </w:p>
        </w:tc>
        <w:tc>
          <w:tcPr>
            <w:tcW w:w="738" w:type="pct"/>
            <w:noWrap w:val="0"/>
            <w:vAlign w:val="center"/>
          </w:tcPr>
          <w:p w14:paraId="6D38DC77">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7088F51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35F148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339E0737">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30D22581">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城市轨道交通用地</w:t>
            </w:r>
          </w:p>
        </w:tc>
        <w:tc>
          <w:tcPr>
            <w:tcW w:w="552" w:type="pct"/>
            <w:noWrap w:val="0"/>
            <w:vAlign w:val="center"/>
          </w:tcPr>
          <w:p w14:paraId="22219E02">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4BBF8C0C">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独立占地的城市轨道交通地面以上部分的线路、站点用地</w:t>
            </w:r>
          </w:p>
        </w:tc>
        <w:tc>
          <w:tcPr>
            <w:tcW w:w="738" w:type="pct"/>
            <w:noWrap w:val="0"/>
            <w:vAlign w:val="center"/>
          </w:tcPr>
          <w:p w14:paraId="7BD0BDF5">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7BAA7AEB">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C008A1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437B95FD">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7D216C37">
            <w:pPr>
              <w:widowControl/>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城镇道路用地</w:t>
            </w:r>
          </w:p>
        </w:tc>
        <w:tc>
          <w:tcPr>
            <w:tcW w:w="552" w:type="pct"/>
            <w:noWrap w:val="0"/>
            <w:vAlign w:val="center"/>
          </w:tcPr>
          <w:p w14:paraId="60F44670">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39D057BD">
            <w:pPr>
              <w:widowControl/>
              <w:snapToGrid w:val="0"/>
              <w:spacing w:line="240" w:lineRule="auto"/>
              <w:ind w:firstLine="0" w:firstLineChars="0"/>
              <w:jc w:val="left"/>
              <w:rPr>
                <w:rFonts w:hint="eastAsia" w:ascii="仿宋" w:hAnsi="仿宋" w:eastAsia="仿宋" w:cs="仿宋"/>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快速路、主干路、次干路、支路、专用人行道和非机动车道等用地，包括其交叉口用地</w:t>
            </w:r>
          </w:p>
        </w:tc>
        <w:tc>
          <w:tcPr>
            <w:tcW w:w="738" w:type="pct"/>
            <w:noWrap w:val="0"/>
            <w:vAlign w:val="center"/>
          </w:tcPr>
          <w:p w14:paraId="059F59D0">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78F85E03">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41CE93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75D2FB0">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restart"/>
            <w:noWrap w:val="0"/>
            <w:vAlign w:val="center"/>
          </w:tcPr>
          <w:p w14:paraId="15AC2DCB">
            <w:pPr>
              <w:snapToGrid w:val="0"/>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交通场站用地</w:t>
            </w:r>
          </w:p>
        </w:tc>
        <w:tc>
          <w:tcPr>
            <w:tcW w:w="4114" w:type="pct"/>
            <w:gridSpan w:val="4"/>
            <w:noWrap w:val="0"/>
            <w:vAlign w:val="center"/>
          </w:tcPr>
          <w:p w14:paraId="0B5CD857">
            <w:pPr>
              <w:widowControl/>
              <w:snapToGrid w:val="0"/>
              <w:spacing w:line="240" w:lineRule="auto"/>
              <w:ind w:firstLine="0" w:firstLineChars="0"/>
              <w:contextualSpacing/>
              <w:jc w:val="left"/>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交通服务设施用地，不包括交通指挥中心、交通队等行政办公设施用地</w:t>
            </w:r>
          </w:p>
        </w:tc>
      </w:tr>
      <w:tr w14:paraId="022883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70E8511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5985845D">
            <w:pPr>
              <w:snapToGrid w:val="0"/>
              <w:spacing w:line="240" w:lineRule="auto"/>
              <w:ind w:firstLine="0" w:firstLineChars="0"/>
              <w:jc w:val="center"/>
              <w:rPr>
                <w:rFonts w:hint="eastAsia" w:ascii="仿宋" w:hAnsi="仿宋" w:eastAsia="仿宋" w:cs="仿宋"/>
                <w:kern w:val="0"/>
                <w:sz w:val="15"/>
                <w:szCs w:val="15"/>
              </w:rPr>
            </w:pPr>
          </w:p>
        </w:tc>
        <w:tc>
          <w:tcPr>
            <w:tcW w:w="552" w:type="pct"/>
            <w:noWrap w:val="0"/>
            <w:vAlign w:val="center"/>
          </w:tcPr>
          <w:p w14:paraId="2704E5C5">
            <w:pPr>
              <w:widowControl/>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对外交通场站用地</w:t>
            </w:r>
          </w:p>
        </w:tc>
        <w:tc>
          <w:tcPr>
            <w:tcW w:w="2612" w:type="pct"/>
            <w:noWrap w:val="0"/>
            <w:vAlign w:val="center"/>
          </w:tcPr>
          <w:p w14:paraId="27A6F879">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指铁路客货运站、公路长途客运站、港口客运码头及其附属设施用地</w:t>
            </w:r>
          </w:p>
        </w:tc>
        <w:tc>
          <w:tcPr>
            <w:tcW w:w="738" w:type="pct"/>
            <w:noWrap w:val="0"/>
            <w:vAlign w:val="center"/>
          </w:tcPr>
          <w:p w14:paraId="2598C41D">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6631B96A">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68DCBE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16032B2">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4E6D9204">
            <w:pPr>
              <w:snapToGrid w:val="0"/>
              <w:spacing w:line="240" w:lineRule="auto"/>
              <w:ind w:firstLine="424"/>
              <w:jc w:val="center"/>
              <w:rPr>
                <w:rFonts w:hint="eastAsia" w:ascii="仿宋" w:hAnsi="仿宋" w:eastAsia="仿宋" w:cs="仿宋"/>
                <w:kern w:val="0"/>
                <w:sz w:val="15"/>
                <w:szCs w:val="15"/>
              </w:rPr>
            </w:pPr>
          </w:p>
        </w:tc>
        <w:tc>
          <w:tcPr>
            <w:tcW w:w="552" w:type="pct"/>
            <w:noWrap w:val="0"/>
            <w:vAlign w:val="center"/>
          </w:tcPr>
          <w:p w14:paraId="007D95D2">
            <w:pPr>
              <w:widowControl/>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公共交通场站用地</w:t>
            </w:r>
          </w:p>
        </w:tc>
        <w:tc>
          <w:tcPr>
            <w:tcW w:w="2612" w:type="pct"/>
            <w:noWrap w:val="0"/>
            <w:vAlign w:val="center"/>
          </w:tcPr>
          <w:p w14:paraId="4AB10A4C">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指城市轨道交通车辆基地及附属设施，公共汽（电）</w:t>
            </w:r>
            <w:r>
              <w:rPr>
                <w:rFonts w:hint="eastAsia" w:ascii="仿宋" w:hAnsi="仿宋" w:eastAsia="仿宋" w:cs="仿宋"/>
                <w:color w:val="000000"/>
                <w:kern w:val="0"/>
                <w:sz w:val="15"/>
                <w:szCs w:val="15"/>
              </w:rPr>
              <w:t>车</w:t>
            </w:r>
            <w:r>
              <w:rPr>
                <w:rFonts w:hint="eastAsia" w:ascii="仿宋" w:hAnsi="仿宋" w:eastAsia="仿宋" w:cs="仿宋"/>
                <w:kern w:val="0"/>
                <w:sz w:val="15"/>
                <w:szCs w:val="15"/>
              </w:rPr>
              <w:t>首末站、停车场（库）、保养场，出租汽车场站设施等用地，以及轮渡、缆车、索道等的地面部分及其附属设施用地</w:t>
            </w:r>
          </w:p>
        </w:tc>
        <w:tc>
          <w:tcPr>
            <w:tcW w:w="738" w:type="pct"/>
            <w:noWrap w:val="0"/>
            <w:vAlign w:val="center"/>
          </w:tcPr>
          <w:p w14:paraId="52474D96">
            <w:pPr>
              <w:spacing w:line="240" w:lineRule="auto"/>
              <w:ind w:left="0" w:leftChars="0"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0B6976CE">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4BB725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40BD2C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vMerge w:val="continue"/>
            <w:noWrap w:val="0"/>
            <w:vAlign w:val="center"/>
          </w:tcPr>
          <w:p w14:paraId="31CC7E9E">
            <w:pPr>
              <w:widowControl/>
              <w:snapToGrid w:val="0"/>
              <w:spacing w:line="240" w:lineRule="auto"/>
              <w:ind w:firstLine="0" w:firstLineChars="0"/>
              <w:jc w:val="center"/>
              <w:rPr>
                <w:rFonts w:hint="eastAsia" w:ascii="仿宋" w:hAnsi="仿宋" w:eastAsia="仿宋" w:cs="仿宋"/>
                <w:kern w:val="0"/>
                <w:sz w:val="15"/>
                <w:szCs w:val="15"/>
              </w:rPr>
            </w:pPr>
          </w:p>
        </w:tc>
        <w:tc>
          <w:tcPr>
            <w:tcW w:w="552" w:type="pct"/>
            <w:noWrap w:val="0"/>
            <w:vAlign w:val="center"/>
          </w:tcPr>
          <w:p w14:paraId="143DB516">
            <w:pPr>
              <w:widowControl/>
              <w:spacing w:line="240" w:lineRule="auto"/>
              <w:ind w:firstLine="0" w:firstLineChars="0"/>
              <w:jc w:val="center"/>
              <w:rPr>
                <w:rFonts w:hint="eastAsia" w:ascii="仿宋" w:hAnsi="仿宋" w:eastAsia="仿宋" w:cs="仿宋"/>
                <w:kern w:val="0"/>
                <w:sz w:val="15"/>
                <w:szCs w:val="15"/>
              </w:rPr>
            </w:pPr>
            <w:r>
              <w:rPr>
                <w:rFonts w:hint="eastAsia" w:ascii="仿宋" w:hAnsi="仿宋" w:eastAsia="仿宋" w:cs="仿宋"/>
                <w:kern w:val="0"/>
                <w:sz w:val="15"/>
                <w:szCs w:val="15"/>
              </w:rPr>
              <w:t>社会停车场用地</w:t>
            </w:r>
          </w:p>
        </w:tc>
        <w:tc>
          <w:tcPr>
            <w:tcW w:w="2612" w:type="pct"/>
            <w:noWrap w:val="0"/>
            <w:vAlign w:val="center"/>
          </w:tcPr>
          <w:p w14:paraId="16E642BB">
            <w:pPr>
              <w:widowControl/>
              <w:snapToGrid w:val="0"/>
              <w:spacing w:line="240" w:lineRule="auto"/>
              <w:ind w:firstLine="0" w:firstLineChars="0"/>
              <w:rPr>
                <w:rFonts w:hint="eastAsia" w:ascii="仿宋" w:hAnsi="仿宋" w:eastAsia="仿宋" w:cs="仿宋"/>
                <w:kern w:val="0"/>
                <w:sz w:val="15"/>
                <w:szCs w:val="15"/>
              </w:rPr>
            </w:pPr>
            <w:r>
              <w:rPr>
                <w:rFonts w:hint="eastAsia" w:ascii="仿宋" w:hAnsi="仿宋" w:eastAsia="仿宋" w:cs="仿宋"/>
                <w:color w:val="000000"/>
                <w:kern w:val="0"/>
                <w:sz w:val="15"/>
                <w:szCs w:val="15"/>
              </w:rPr>
              <w:t>指指</w:t>
            </w:r>
            <w:r>
              <w:rPr>
                <w:rFonts w:hint="eastAsia" w:ascii="仿宋" w:hAnsi="仿宋" w:eastAsia="仿宋" w:cs="仿宋"/>
                <w:kern w:val="0"/>
                <w:sz w:val="15"/>
                <w:szCs w:val="15"/>
              </w:rPr>
              <w:t>独立占地的公共停车场和停车库用地（</w:t>
            </w:r>
            <w:r>
              <w:rPr>
                <w:rFonts w:hint="eastAsia" w:ascii="仿宋" w:hAnsi="仿宋" w:eastAsia="仿宋" w:cs="仿宋"/>
                <w:color w:val="000000"/>
                <w:kern w:val="0"/>
                <w:sz w:val="15"/>
                <w:szCs w:val="15"/>
              </w:rPr>
              <w:t>含</w:t>
            </w:r>
            <w:r>
              <w:rPr>
                <w:rFonts w:hint="eastAsia" w:ascii="仿宋" w:hAnsi="仿宋" w:eastAsia="仿宋" w:cs="仿宋"/>
                <w:kern w:val="0"/>
                <w:sz w:val="15"/>
                <w:szCs w:val="15"/>
              </w:rPr>
              <w:t>设有充电桩的社会停车场），不包括其他建设用地配建的停车场和停车库用地</w:t>
            </w:r>
          </w:p>
        </w:tc>
        <w:tc>
          <w:tcPr>
            <w:tcW w:w="738" w:type="pct"/>
            <w:noWrap w:val="0"/>
            <w:vAlign w:val="center"/>
          </w:tcPr>
          <w:p w14:paraId="7FDB62A7">
            <w:pPr>
              <w:spacing w:line="240" w:lineRule="auto"/>
              <w:ind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noWrap w:val="0"/>
            <w:vAlign w:val="center"/>
          </w:tcPr>
          <w:p w14:paraId="70CC5260">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bl>
    <w:p w14:paraId="7D929890">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br w:type="page"/>
      </w:r>
    </w:p>
    <w:tbl>
      <w:tblPr>
        <w:tblStyle w:val="14"/>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456"/>
        <w:gridCol w:w="1508"/>
        <w:gridCol w:w="7133"/>
        <w:gridCol w:w="2015"/>
        <w:gridCol w:w="582"/>
      </w:tblGrid>
      <w:tr w14:paraId="0729DA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restart"/>
            <w:noWrap w:val="0"/>
            <w:vAlign w:val="center"/>
          </w:tcPr>
          <w:p w14:paraId="6F0FAF4A">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特殊用地</w:t>
            </w:r>
          </w:p>
        </w:tc>
        <w:tc>
          <w:tcPr>
            <w:tcW w:w="4648" w:type="pct"/>
            <w:gridSpan w:val="5"/>
            <w:noWrap w:val="0"/>
            <w:vAlign w:val="center"/>
          </w:tcPr>
          <w:p w14:paraId="6347C44A">
            <w:pPr>
              <w:widowControl/>
              <w:snapToGrid w:val="0"/>
              <w:spacing w:line="240" w:lineRule="auto"/>
              <w:ind w:firstLine="0" w:firstLineChars="0"/>
              <w:contextualSpacing/>
              <w:jc w:val="left"/>
              <w:rPr>
                <w:rFonts w:hint="eastAsia" w:ascii="仿宋" w:hAnsi="仿宋" w:eastAsia="仿宋" w:cs="仿宋"/>
                <w:color w:val="000000"/>
                <w:kern w:val="0"/>
                <w:sz w:val="15"/>
                <w:szCs w:val="15"/>
              </w:rPr>
            </w:pPr>
            <w:r>
              <w:rPr>
                <w:rFonts w:hint="eastAsia" w:ascii="仿宋" w:hAnsi="仿宋" w:eastAsia="仿宋" w:cs="仿宋"/>
                <w:kern w:val="0"/>
                <w:sz w:val="15"/>
                <w:szCs w:val="15"/>
              </w:rPr>
              <w:t>指军事、外事、宗教、殡葬，以及文物古迹等具有特殊性质的用地</w:t>
            </w:r>
          </w:p>
        </w:tc>
      </w:tr>
      <w:tr w14:paraId="3D475A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48A89146">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4858573E">
            <w:pPr>
              <w:widowControl/>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宗教用地</w:t>
            </w:r>
          </w:p>
        </w:tc>
        <w:tc>
          <w:tcPr>
            <w:tcW w:w="552" w:type="pct"/>
            <w:noWrap w:val="0"/>
            <w:vAlign w:val="center"/>
          </w:tcPr>
          <w:p w14:paraId="5264163F">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4F6A9D0E">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指宗教活动场所用地</w:t>
            </w:r>
          </w:p>
        </w:tc>
        <w:tc>
          <w:tcPr>
            <w:tcW w:w="738" w:type="pct"/>
            <w:noWrap w:val="0"/>
            <w:vAlign w:val="center"/>
          </w:tcPr>
          <w:p w14:paraId="79A98C36">
            <w:pPr>
              <w:spacing w:line="240" w:lineRule="auto"/>
              <w:ind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公共管理与公共服务用地</w:t>
            </w:r>
          </w:p>
        </w:tc>
        <w:tc>
          <w:tcPr>
            <w:tcW w:w="212" w:type="pct"/>
            <w:noWrap w:val="0"/>
            <w:vAlign w:val="center"/>
          </w:tcPr>
          <w:p w14:paraId="22A9DC1A">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007D3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200529DB">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62B069E3">
            <w:pPr>
              <w:widowControl/>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文物古迹用地</w:t>
            </w:r>
          </w:p>
        </w:tc>
        <w:tc>
          <w:tcPr>
            <w:tcW w:w="552" w:type="pct"/>
            <w:noWrap w:val="0"/>
            <w:vAlign w:val="center"/>
          </w:tcPr>
          <w:p w14:paraId="7132A5AE">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356BE82F">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kern w:val="0"/>
                <w:sz w:val="15"/>
                <w:szCs w:val="15"/>
              </w:rPr>
              <w:t>指具有保护价值的古遗址、古建筑、古墓葬、石窟寺、近现代史迹及纪念建筑等用地，不包括已作其他用途的文物古迹用地</w:t>
            </w:r>
          </w:p>
        </w:tc>
        <w:tc>
          <w:tcPr>
            <w:tcW w:w="738" w:type="pct"/>
            <w:noWrap w:val="0"/>
            <w:vAlign w:val="center"/>
          </w:tcPr>
          <w:p w14:paraId="4AC4DD1F">
            <w:pPr>
              <w:spacing w:line="240" w:lineRule="auto"/>
              <w:ind w:firstLine="0" w:firstLineChars="0"/>
              <w:jc w:val="center"/>
              <w:rPr>
                <w:rFonts w:hint="eastAsia" w:ascii="仿宋" w:hAnsi="仿宋" w:eastAsia="仿宋" w:cs="仿宋"/>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48FACC02">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r w14:paraId="55B3D9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351" w:type="pct"/>
            <w:vMerge w:val="continue"/>
            <w:noWrap w:val="0"/>
            <w:vAlign w:val="center"/>
          </w:tcPr>
          <w:p w14:paraId="6B40261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p>
        </w:tc>
        <w:tc>
          <w:tcPr>
            <w:tcW w:w="533" w:type="pct"/>
            <w:noWrap w:val="0"/>
            <w:vAlign w:val="center"/>
          </w:tcPr>
          <w:p w14:paraId="104B5D37">
            <w:pPr>
              <w:widowControl/>
              <w:snapToGrid w:val="0"/>
              <w:spacing w:line="240" w:lineRule="auto"/>
              <w:ind w:firstLine="0" w:firstLineChars="0"/>
              <w:contextualSpacing/>
              <w:jc w:val="center"/>
              <w:rPr>
                <w:rFonts w:hint="eastAsia" w:ascii="仿宋" w:hAnsi="仿宋" w:eastAsia="仿宋" w:cs="仿宋"/>
                <w:kern w:val="0"/>
                <w:sz w:val="15"/>
                <w:szCs w:val="15"/>
              </w:rPr>
            </w:pPr>
            <w:r>
              <w:rPr>
                <w:rFonts w:hint="eastAsia" w:ascii="仿宋" w:hAnsi="仿宋" w:eastAsia="仿宋" w:cs="仿宋"/>
                <w:kern w:val="0"/>
                <w:sz w:val="15"/>
                <w:szCs w:val="15"/>
              </w:rPr>
              <w:t>殡葬用地</w:t>
            </w:r>
          </w:p>
        </w:tc>
        <w:tc>
          <w:tcPr>
            <w:tcW w:w="552" w:type="pct"/>
            <w:noWrap w:val="0"/>
            <w:vAlign w:val="center"/>
          </w:tcPr>
          <w:p w14:paraId="212D9D88">
            <w:pPr>
              <w:snapToGrid w:val="0"/>
              <w:spacing w:line="240" w:lineRule="auto"/>
              <w:ind w:firstLine="0" w:firstLineChars="0"/>
              <w:contextualSpacing/>
              <w:jc w:val="center"/>
              <w:rPr>
                <w:rFonts w:hint="eastAsia" w:ascii="仿宋" w:hAnsi="仿宋" w:eastAsia="仿宋" w:cs="仿宋"/>
                <w:kern w:val="0"/>
                <w:sz w:val="15"/>
                <w:szCs w:val="15"/>
              </w:rPr>
            </w:pPr>
          </w:p>
        </w:tc>
        <w:tc>
          <w:tcPr>
            <w:tcW w:w="2612" w:type="pct"/>
            <w:noWrap w:val="0"/>
            <w:vAlign w:val="center"/>
          </w:tcPr>
          <w:p w14:paraId="7B49A9B7">
            <w:pPr>
              <w:widowControl/>
              <w:snapToGrid w:val="0"/>
              <w:spacing w:line="240" w:lineRule="auto"/>
              <w:ind w:firstLine="0" w:firstLineChars="0"/>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指</w:t>
            </w:r>
            <w:r>
              <w:rPr>
                <w:rFonts w:hint="eastAsia" w:ascii="仿宋" w:hAnsi="仿宋" w:eastAsia="仿宋" w:cs="仿宋"/>
                <w:kern w:val="0"/>
                <w:sz w:val="15"/>
                <w:szCs w:val="15"/>
              </w:rPr>
              <w:t>殡仪馆、火葬场、骨灰存放处和陵园、墓地等用地</w:t>
            </w:r>
          </w:p>
        </w:tc>
        <w:tc>
          <w:tcPr>
            <w:tcW w:w="738" w:type="pct"/>
            <w:noWrap w:val="0"/>
            <w:vAlign w:val="center"/>
          </w:tcPr>
          <w:p w14:paraId="3C810FBC">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公用设施用地</w:t>
            </w:r>
          </w:p>
        </w:tc>
        <w:tc>
          <w:tcPr>
            <w:tcW w:w="212" w:type="pct"/>
            <w:noWrap w:val="0"/>
            <w:vAlign w:val="center"/>
          </w:tcPr>
          <w:p w14:paraId="02D83F67">
            <w:pPr>
              <w:widowControl/>
              <w:snapToGrid w:val="0"/>
              <w:spacing w:line="240" w:lineRule="auto"/>
              <w:ind w:firstLine="0" w:firstLineChars="0"/>
              <w:contextualSpacing/>
              <w:jc w:val="center"/>
              <w:rPr>
                <w:rFonts w:hint="eastAsia" w:ascii="仿宋" w:hAnsi="仿宋" w:eastAsia="仿宋" w:cs="仿宋"/>
                <w:color w:val="000000"/>
                <w:kern w:val="0"/>
                <w:sz w:val="15"/>
                <w:szCs w:val="15"/>
              </w:rPr>
            </w:pPr>
            <w:r>
              <w:rPr>
                <w:rFonts w:hint="default" w:ascii="Times New Roman" w:hAnsi="Times New Roman" w:eastAsia="仿宋" w:cs="Times New Roman"/>
                <w:color w:val="000000"/>
                <w:kern w:val="0"/>
                <w:sz w:val="15"/>
                <w:szCs w:val="15"/>
              </w:rPr>
              <w:t>1</w:t>
            </w:r>
            <w:r>
              <w:rPr>
                <w:rFonts w:hint="eastAsia" w:ascii="仿宋" w:hAnsi="仿宋" w:eastAsia="仿宋" w:cs="仿宋"/>
                <w:color w:val="000000"/>
                <w:kern w:val="0"/>
                <w:sz w:val="15"/>
                <w:szCs w:val="15"/>
              </w:rPr>
              <w:t>.</w:t>
            </w:r>
            <w:r>
              <w:rPr>
                <w:rFonts w:hint="default" w:ascii="Times New Roman" w:hAnsi="Times New Roman" w:eastAsia="仿宋" w:cs="Times New Roman"/>
                <w:color w:val="000000"/>
                <w:kern w:val="0"/>
                <w:sz w:val="15"/>
                <w:szCs w:val="15"/>
              </w:rPr>
              <w:t>0</w:t>
            </w:r>
          </w:p>
        </w:tc>
      </w:tr>
    </w:tbl>
    <w:p w14:paraId="537A82B1">
      <w:pPr>
        <w:adjustRightInd w:val="0"/>
        <w:snapToGrid w:val="0"/>
        <w:spacing w:line="360" w:lineRule="auto"/>
        <w:ind w:firstLine="0" w:firstLineChars="0"/>
        <w:rPr>
          <w:rFonts w:hint="eastAsia" w:ascii="仿宋" w:hAnsi="仿宋" w:eastAsia="仿宋" w:cs="仿宋"/>
          <w:b w:val="0"/>
          <w:bCs w:val="0"/>
          <w:kern w:val="2"/>
          <w:sz w:val="28"/>
          <w:szCs w:val="28"/>
          <w:lang w:val="en-US" w:eastAsia="zh-CN" w:bidi="ar-SA"/>
        </w:rPr>
        <w:sectPr>
          <w:pgSz w:w="16838" w:h="11905" w:orient="landscape"/>
          <w:pgMar w:top="1701" w:right="1701" w:bottom="1701" w:left="1701" w:header="1134" w:footer="1020" w:gutter="0"/>
          <w:pgNumType w:fmt="decimal"/>
          <w:cols w:space="0" w:num="1"/>
          <w:rtlGutter w:val="0"/>
          <w:docGrid w:linePitch="271" w:charSpace="0"/>
        </w:sectPr>
      </w:pPr>
      <w:r>
        <w:rPr>
          <w:rFonts w:hint="eastAsia" w:ascii="仿宋" w:hAnsi="仿宋" w:eastAsia="仿宋" w:cs="仿宋"/>
          <w:spacing w:val="0"/>
          <w:sz w:val="18"/>
          <w:szCs w:val="18"/>
        </w:rPr>
        <w:t>注：①当加油、加气站的实际容积率低于基准地价对应的平均容积率情况下，利用基准地价系数修正法进行评估时，按基准地价对应的平均容积率条件下测算地价（若采用楼面地价测算时，建筑面积按基准地价对应的平均容积率计算）。②殡葬用地按照基准地价对应的平均容积率地面基准地价进行测算，不作容积率修正。</w:t>
      </w:r>
    </w:p>
    <w:p w14:paraId="4E5D1CFD">
      <w:pPr>
        <w:pStyle w:val="2"/>
        <w:keepNext/>
        <w:keepLines/>
        <w:pageBreakBefore w:val="0"/>
        <w:widowControl/>
        <w:kinsoku/>
        <w:wordWrap/>
        <w:overflowPunct/>
        <w:topLinePunct w:val="0"/>
        <w:autoSpaceDE/>
        <w:autoSpaceDN/>
        <w:bidi w:val="0"/>
        <w:adjustRightInd w:val="0"/>
        <w:snapToGrid w:val="0"/>
        <w:spacing w:before="136" w:beforeLines="50" w:after="0" w:line="360" w:lineRule="auto"/>
        <w:jc w:val="left"/>
        <w:textAlignment w:val="auto"/>
        <w:rPr>
          <w:rFonts w:hint="eastAsia" w:ascii="黑体" w:hAnsi="Times New Roman" w:eastAsia="黑体" w:cs="Times New Roman"/>
          <w:b/>
          <w:bCs/>
          <w:sz w:val="32"/>
          <w:szCs w:val="32"/>
          <w:lang w:val="en-US" w:eastAsia="zh-CN"/>
        </w:rPr>
      </w:pPr>
      <w:bookmarkStart w:id="16" w:name="_Toc29215"/>
      <w:r>
        <w:rPr>
          <w:rFonts w:hint="eastAsia" w:ascii="黑体" w:hAnsi="Times New Roman" w:eastAsia="黑体" w:cs="Times New Roman"/>
          <w:b/>
          <w:bCs/>
          <w:sz w:val="32"/>
          <w:szCs w:val="32"/>
          <w:lang w:val="en-US" w:eastAsia="zh-CN"/>
        </w:rPr>
        <w:t>二、各类用地基准地价修正体系</w:t>
      </w:r>
      <w:bookmarkEnd w:id="12"/>
      <w:bookmarkEnd w:id="13"/>
      <w:bookmarkEnd w:id="14"/>
      <w:bookmarkEnd w:id="16"/>
      <w:bookmarkStart w:id="17" w:name="_Toc30379"/>
    </w:p>
    <w:p w14:paraId="1B33B3C2">
      <w:pPr>
        <w:pStyle w:val="3"/>
        <w:keepNext/>
        <w:keepLines/>
        <w:pageBreakBefore w:val="0"/>
        <w:widowControl/>
        <w:kinsoku/>
        <w:wordWrap/>
        <w:overflowPunct/>
        <w:topLinePunct w:val="0"/>
        <w:autoSpaceDE/>
        <w:autoSpaceDN/>
        <w:bidi w:val="0"/>
        <w:adjustRightInd w:val="0"/>
        <w:snapToGrid w:val="0"/>
        <w:spacing w:before="136" w:beforeLines="50" w:after="0" w:line="360" w:lineRule="auto"/>
        <w:jc w:val="left"/>
        <w:textAlignment w:val="auto"/>
        <w:outlineLvl w:val="1"/>
        <w:rPr>
          <w:rFonts w:hint="eastAsia" w:ascii="仿宋" w:hAnsi="仿宋" w:eastAsia="仿宋" w:cs="仿宋"/>
          <w:b/>
          <w:bCs/>
          <w:sz w:val="30"/>
          <w:szCs w:val="30"/>
          <w:lang w:val="en-US" w:eastAsia="zh-CN"/>
        </w:rPr>
      </w:pPr>
      <w:bookmarkStart w:id="18" w:name="_Toc3167"/>
      <w:r>
        <w:rPr>
          <w:rFonts w:hint="eastAsia" w:ascii="仿宋" w:hAnsi="仿宋" w:eastAsia="仿宋" w:cs="仿宋"/>
          <w:b/>
          <w:bCs/>
          <w:sz w:val="30"/>
          <w:szCs w:val="30"/>
          <w:lang w:val="en-US" w:eastAsia="zh-CN"/>
        </w:rPr>
        <w:t>（一）各类用地宗地地价影响因素指标说明及修正系数</w:t>
      </w:r>
      <w:bookmarkEnd w:id="17"/>
      <w:bookmarkEnd w:id="18"/>
    </w:p>
    <w:p w14:paraId="15F4FB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ascii="仿宋" w:hAnsi="仿宋" w:eastAsia="仿宋" w:cs="仿宋"/>
          <w:b w:val="0"/>
          <w:bCs w:val="0"/>
          <w:kern w:val="2"/>
          <w:sz w:val="28"/>
          <w:szCs w:val="28"/>
          <w:lang w:val="en-US" w:eastAsia="zh-CN" w:bidi="ar-SA"/>
        </w:rPr>
      </w:pPr>
      <w:bookmarkStart w:id="19" w:name="_Toc23403"/>
      <w:r>
        <w:rPr>
          <w:rFonts w:hint="eastAsia" w:ascii="仿宋" w:hAnsi="仿宋" w:eastAsia="仿宋" w:cs="仿宋"/>
          <w:b w:val="0"/>
          <w:bCs w:val="0"/>
          <w:kern w:val="2"/>
          <w:sz w:val="28"/>
          <w:szCs w:val="28"/>
          <w:lang w:val="en-US" w:eastAsia="zh-CN" w:bidi="ar-SA"/>
        </w:rPr>
        <w:t>（1）、商业服务业用地地价影响因素指标说明表及修正系数表</w:t>
      </w:r>
    </w:p>
    <w:p w14:paraId="4F3C17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仿宋" w:cs="仿宋"/>
          <w:caps w:val="0"/>
          <w:smallCaps w:val="0"/>
          <w:color w:val="auto"/>
          <w:sz w:val="24"/>
          <w:szCs w:val="24"/>
          <w:highlight w:val="none"/>
          <w:lang w:eastAsia="zh-CN"/>
        </w:rPr>
      </w:pP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w:t>
      </w:r>
      <w:r>
        <w:rPr>
          <w:rFonts w:hint="eastAsia" w:ascii="Times New Roman" w:hAnsi="Times New Roman" w:eastAsia="仿宋" w:cs="仿宋"/>
          <w:b/>
          <w:caps w:val="0"/>
          <w:smallCaps w:val="0"/>
          <w:color w:val="auto"/>
          <w:sz w:val="24"/>
          <w:szCs w:val="24"/>
          <w:highlight w:val="none"/>
        </w:rPr>
        <w:t xml:space="preserve">-1   </w:t>
      </w:r>
      <w:bookmarkStart w:id="20" w:name="_Toc6050"/>
      <w:r>
        <w:rPr>
          <w:rFonts w:hint="eastAsia" w:ascii="Times New Roman" w:hAnsi="Times New Roman" w:eastAsia="仿宋" w:cs="仿宋"/>
          <w:b/>
          <w:caps w:val="0"/>
          <w:smallCaps w:val="0"/>
          <w:color w:val="auto"/>
          <w:sz w:val="24"/>
          <w:szCs w:val="24"/>
          <w:highlight w:val="none"/>
        </w:rPr>
        <w:t>Ⅰ级</w:t>
      </w:r>
      <w:r>
        <w:rPr>
          <w:rFonts w:hint="eastAsia" w:ascii="Times New Roman" w:hAnsi="Times New Roman" w:eastAsia="仿宋" w:cs="仿宋"/>
          <w:b/>
          <w:caps w:val="0"/>
          <w:smallCaps w:val="0"/>
          <w:color w:val="auto"/>
          <w:sz w:val="24"/>
          <w:szCs w:val="24"/>
          <w:highlight w:val="none"/>
          <w:lang w:eastAsia="zh-CN"/>
        </w:rPr>
        <w:t>商业服务业</w:t>
      </w:r>
      <w:r>
        <w:rPr>
          <w:rFonts w:hint="eastAsia" w:ascii="Times New Roman" w:hAnsi="Times New Roman" w:eastAsia="仿宋" w:cs="仿宋"/>
          <w:b/>
          <w:caps w:val="0"/>
          <w:smallCaps w:val="0"/>
          <w:color w:val="auto"/>
          <w:sz w:val="24"/>
          <w:szCs w:val="24"/>
          <w:highlight w:val="none"/>
        </w:rPr>
        <w:t>用地地价</w:t>
      </w:r>
      <w:r>
        <w:rPr>
          <w:rFonts w:hint="eastAsia" w:ascii="Times New Roman" w:hAnsi="Times New Roman" w:eastAsia="仿宋" w:cs="仿宋"/>
          <w:b/>
          <w:caps w:val="0"/>
          <w:smallCaps w:val="0"/>
          <w:color w:val="auto"/>
          <w:sz w:val="24"/>
          <w:szCs w:val="24"/>
          <w:highlight w:val="none"/>
          <w:lang w:eastAsia="zh-CN"/>
        </w:rPr>
        <w:t>地价影响因素指标说明表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1491"/>
        <w:gridCol w:w="1347"/>
        <w:gridCol w:w="1401"/>
        <w:gridCol w:w="1345"/>
        <w:gridCol w:w="1315"/>
        <w:gridCol w:w="1279"/>
      </w:tblGrid>
      <w:tr w14:paraId="549B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65" w:type="pct"/>
            <w:gridSpan w:val="2"/>
            <w:noWrap w:val="0"/>
            <w:vAlign w:val="center"/>
          </w:tcPr>
          <w:p w14:paraId="634698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影响因素</w:t>
            </w:r>
          </w:p>
        </w:tc>
        <w:tc>
          <w:tcPr>
            <w:tcW w:w="772" w:type="pct"/>
            <w:noWrap w:val="0"/>
            <w:vAlign w:val="center"/>
          </w:tcPr>
          <w:p w14:paraId="33B2CB4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优</w:t>
            </w:r>
          </w:p>
        </w:tc>
        <w:tc>
          <w:tcPr>
            <w:tcW w:w="803" w:type="pct"/>
            <w:noWrap w:val="0"/>
            <w:vAlign w:val="center"/>
          </w:tcPr>
          <w:p w14:paraId="5B9253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较优</w:t>
            </w:r>
          </w:p>
        </w:tc>
        <w:tc>
          <w:tcPr>
            <w:tcW w:w="771" w:type="pct"/>
            <w:noWrap w:val="0"/>
            <w:vAlign w:val="center"/>
          </w:tcPr>
          <w:p w14:paraId="40FB9B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一般</w:t>
            </w:r>
          </w:p>
        </w:tc>
        <w:tc>
          <w:tcPr>
            <w:tcW w:w="754" w:type="pct"/>
            <w:noWrap w:val="0"/>
            <w:vAlign w:val="center"/>
          </w:tcPr>
          <w:p w14:paraId="352B18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较劣</w:t>
            </w:r>
          </w:p>
        </w:tc>
        <w:tc>
          <w:tcPr>
            <w:tcW w:w="733" w:type="pct"/>
            <w:noWrap w:val="0"/>
            <w:vAlign w:val="center"/>
          </w:tcPr>
          <w:p w14:paraId="56A235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劣</w:t>
            </w:r>
          </w:p>
        </w:tc>
      </w:tr>
      <w:tr w14:paraId="1E2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restart"/>
            <w:noWrap w:val="0"/>
            <w:vAlign w:val="center"/>
          </w:tcPr>
          <w:p w14:paraId="5AFD06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区域因素</w:t>
            </w:r>
          </w:p>
        </w:tc>
        <w:tc>
          <w:tcPr>
            <w:tcW w:w="854" w:type="pct"/>
            <w:noWrap w:val="0"/>
            <w:vAlign w:val="center"/>
          </w:tcPr>
          <w:p w14:paraId="07193CE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772" w:type="pct"/>
            <w:noWrap w:val="0"/>
            <w:vAlign w:val="center"/>
          </w:tcPr>
          <w:p w14:paraId="7D4D5E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803" w:type="pct"/>
            <w:noWrap w:val="0"/>
            <w:vAlign w:val="center"/>
          </w:tcPr>
          <w:p w14:paraId="54AE22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71" w:type="pct"/>
            <w:noWrap w:val="0"/>
            <w:vAlign w:val="center"/>
          </w:tcPr>
          <w:p w14:paraId="5EC6CF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交通型主干道</w:t>
            </w:r>
          </w:p>
        </w:tc>
        <w:tc>
          <w:tcPr>
            <w:tcW w:w="754" w:type="pct"/>
            <w:noWrap w:val="0"/>
            <w:vAlign w:val="center"/>
          </w:tcPr>
          <w:p w14:paraId="39D60A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次干道</w:t>
            </w:r>
          </w:p>
        </w:tc>
        <w:tc>
          <w:tcPr>
            <w:tcW w:w="733" w:type="pct"/>
            <w:noWrap w:val="0"/>
            <w:vAlign w:val="center"/>
          </w:tcPr>
          <w:p w14:paraId="30C17D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支路</w:t>
            </w:r>
          </w:p>
        </w:tc>
      </w:tr>
      <w:tr w14:paraId="5E08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7611AD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noWrap w:val="0"/>
            <w:vAlign w:val="center"/>
          </w:tcPr>
          <w:p w14:paraId="546CB2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772" w:type="pct"/>
            <w:noWrap w:val="0"/>
            <w:vAlign w:val="center"/>
          </w:tcPr>
          <w:p w14:paraId="22F61F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803" w:type="pct"/>
            <w:noWrap w:val="0"/>
            <w:vAlign w:val="center"/>
          </w:tcPr>
          <w:p w14:paraId="3BE49B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71" w:type="pct"/>
            <w:noWrap w:val="0"/>
            <w:vAlign w:val="center"/>
          </w:tcPr>
          <w:p w14:paraId="5BAC25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754" w:type="pct"/>
            <w:noWrap w:val="0"/>
            <w:vAlign w:val="center"/>
          </w:tcPr>
          <w:p w14:paraId="2D0E80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733" w:type="pct"/>
            <w:noWrap w:val="0"/>
            <w:vAlign w:val="center"/>
          </w:tcPr>
          <w:p w14:paraId="6B7FAB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5081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7B94C0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noWrap w:val="0"/>
            <w:vAlign w:val="center"/>
          </w:tcPr>
          <w:p w14:paraId="0FC1D2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1324" w:type="dxa"/>
            <w:noWrap w:val="0"/>
            <w:vAlign w:val="center"/>
          </w:tcPr>
          <w:p w14:paraId="2E16EB8F">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1" w:name="_Toc16208"/>
            <w:r>
              <w:rPr>
                <w:rFonts w:hint="eastAsia" w:ascii="仿宋" w:hAnsi="仿宋" w:eastAsia="仿宋" w:cs="仿宋"/>
                <w:b w:val="0"/>
                <w:bCs w:val="0"/>
                <w:sz w:val="21"/>
                <w:szCs w:val="21"/>
                <w:lang w:eastAsia="zh-CN"/>
              </w:rPr>
              <w:t>集中供水充足、保证率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%以上</w:t>
            </w:r>
            <w:bookmarkEnd w:id="21"/>
          </w:p>
        </w:tc>
        <w:tc>
          <w:tcPr>
            <w:tcW w:w="1378" w:type="dxa"/>
            <w:noWrap w:val="0"/>
            <w:vAlign w:val="center"/>
          </w:tcPr>
          <w:p w14:paraId="4872D7C2">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2" w:name="_Toc24092"/>
            <w:r>
              <w:rPr>
                <w:rFonts w:hint="eastAsia" w:ascii="仿宋" w:hAnsi="仿宋" w:eastAsia="仿宋" w:cs="仿宋"/>
                <w:b w:val="0"/>
                <w:bCs w:val="0"/>
                <w:sz w:val="21"/>
                <w:szCs w:val="21"/>
                <w:lang w:eastAsia="zh-CN"/>
              </w:rPr>
              <w:t>集中供水较充足、保证率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22"/>
          </w:p>
        </w:tc>
        <w:tc>
          <w:tcPr>
            <w:tcW w:w="1336" w:type="dxa"/>
            <w:noWrap w:val="0"/>
            <w:vAlign w:val="center"/>
          </w:tcPr>
          <w:p w14:paraId="4AB150B2">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3" w:name="_Toc21278"/>
            <w:r>
              <w:rPr>
                <w:rFonts w:hint="eastAsia" w:ascii="仿宋" w:hAnsi="仿宋" w:eastAsia="仿宋" w:cs="仿宋"/>
                <w:b w:val="0"/>
                <w:bCs w:val="0"/>
                <w:sz w:val="21"/>
                <w:szCs w:val="21"/>
                <w:lang w:eastAsia="zh-CN"/>
              </w:rPr>
              <w:t>集中供水基本充足、保证率</w:t>
            </w:r>
            <w:r>
              <w:rPr>
                <w:rFonts w:hint="default" w:ascii="Times New Roman" w:hAnsi="Times New Roman" w:eastAsia="仿宋" w:cs="Times New Roman"/>
                <w:b w:val="0"/>
                <w:bCs w:val="0"/>
                <w:sz w:val="21"/>
                <w:szCs w:val="21"/>
                <w:lang w:eastAsia="zh-CN"/>
              </w:rPr>
              <w:t>90</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23"/>
          </w:p>
        </w:tc>
        <w:tc>
          <w:tcPr>
            <w:tcW w:w="1456" w:type="dxa"/>
            <w:noWrap w:val="0"/>
            <w:vAlign w:val="center"/>
          </w:tcPr>
          <w:p w14:paraId="1AC70832">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4" w:name="_Toc8146"/>
            <w:r>
              <w:rPr>
                <w:rFonts w:hint="default" w:ascii="Times New Roman" w:hAnsi="Times New Roman" w:eastAsia="仿宋" w:cs="Times New Roman"/>
                <w:b w:val="0"/>
                <w:bCs w:val="0"/>
                <w:sz w:val="21"/>
                <w:szCs w:val="21"/>
                <w:lang w:eastAsia="zh-CN"/>
              </w:rPr>
              <w:t>集中供水保证率低、保证率</w:t>
            </w:r>
            <w:r>
              <w:rPr>
                <w:rFonts w:hint="default" w:ascii="Times New Roman" w:hAnsi="Times New Roman" w:cs="Times New Roman"/>
                <w:b w:val="0"/>
                <w:bCs w:val="0"/>
                <w:sz w:val="21"/>
                <w:szCs w:val="21"/>
                <w:lang w:val="en-US" w:eastAsia="zh-CN"/>
              </w:rPr>
              <w:t>50</w:t>
            </w:r>
            <w:r>
              <w:rPr>
                <w:rFonts w:hint="default" w:ascii="Times New Roman" w:hAnsi="Times New Roman" w:eastAsia="仿宋" w:cs="Times New Roman"/>
                <w:b w:val="0"/>
                <w:bCs w:val="0"/>
                <w:sz w:val="21"/>
                <w:szCs w:val="21"/>
                <w:lang w:eastAsia="zh-CN"/>
              </w:rPr>
              <w:t>%</w:t>
            </w:r>
            <w:r>
              <w:rPr>
                <w:rFonts w:hint="default" w:ascii="Times New Roman" w:hAnsi="Times New Roman" w:cs="Times New Roman"/>
                <w:b w:val="0"/>
                <w:bCs w:val="0"/>
                <w:sz w:val="21"/>
                <w:szCs w:val="21"/>
                <w:lang w:val="en-US" w:eastAsia="zh-CN"/>
              </w:rPr>
              <w:t>-</w:t>
            </w:r>
            <w:r>
              <w:rPr>
                <w:rFonts w:hint="default" w:ascii="Times New Roman" w:hAnsi="Times New Roman" w:eastAsia="仿宋" w:cs="Times New Roman"/>
                <w:b w:val="0"/>
                <w:bCs w:val="0"/>
                <w:sz w:val="21"/>
                <w:szCs w:val="21"/>
                <w:lang w:eastAsia="zh-CN"/>
              </w:rPr>
              <w:t>90%</w:t>
            </w:r>
            <w:bookmarkEnd w:id="24"/>
          </w:p>
        </w:tc>
        <w:tc>
          <w:tcPr>
            <w:tcW w:w="1242" w:type="dxa"/>
            <w:noWrap w:val="0"/>
            <w:vAlign w:val="center"/>
          </w:tcPr>
          <w:p w14:paraId="002D76FC">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5" w:name="_Toc5816"/>
            <w:r>
              <w:rPr>
                <w:rFonts w:hint="eastAsia" w:ascii="仿宋" w:hAnsi="仿宋" w:eastAsia="仿宋" w:cs="仿宋"/>
                <w:b w:val="0"/>
                <w:bCs w:val="0"/>
                <w:sz w:val="21"/>
                <w:szCs w:val="21"/>
                <w:lang w:eastAsia="zh-CN"/>
              </w:rPr>
              <w:t>集中供水保证率低、保证率</w:t>
            </w:r>
            <w:r>
              <w:rPr>
                <w:rFonts w:hint="eastAsia" w:ascii="Times New Roman" w:hAnsi="Times New Roman" w:cs="Times New Roman"/>
                <w:b w:val="0"/>
                <w:bCs w:val="0"/>
                <w:sz w:val="21"/>
                <w:szCs w:val="21"/>
                <w:lang w:val="en-US" w:eastAsia="zh-CN"/>
              </w:rPr>
              <w:t>5</w:t>
            </w:r>
            <w:r>
              <w:rPr>
                <w:rFonts w:hint="default" w:ascii="Times New Roman" w:hAnsi="Times New Roman" w:eastAsia="仿宋" w:cs="Times New Roman"/>
                <w:b w:val="0"/>
                <w:bCs w:val="0"/>
                <w:sz w:val="21"/>
                <w:szCs w:val="21"/>
                <w:lang w:eastAsia="zh-CN"/>
              </w:rPr>
              <w:t>0</w:t>
            </w:r>
            <w:r>
              <w:rPr>
                <w:rFonts w:hint="eastAsia" w:ascii="仿宋" w:hAnsi="仿宋" w:eastAsia="仿宋" w:cs="仿宋"/>
                <w:b w:val="0"/>
                <w:bCs w:val="0"/>
                <w:sz w:val="21"/>
                <w:szCs w:val="21"/>
                <w:lang w:eastAsia="zh-CN"/>
              </w:rPr>
              <w:t>%以下</w:t>
            </w:r>
            <w:bookmarkEnd w:id="25"/>
          </w:p>
        </w:tc>
      </w:tr>
      <w:tr w14:paraId="03AF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30207DB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noWrap w:val="0"/>
            <w:vAlign w:val="center"/>
          </w:tcPr>
          <w:p w14:paraId="4234C2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772" w:type="pct"/>
            <w:noWrap w:val="0"/>
            <w:vAlign w:val="center"/>
          </w:tcPr>
          <w:p w14:paraId="69EA4B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803" w:type="pct"/>
            <w:noWrap w:val="0"/>
            <w:vAlign w:val="center"/>
          </w:tcPr>
          <w:p w14:paraId="377852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71" w:type="pct"/>
            <w:noWrap w:val="0"/>
            <w:vAlign w:val="center"/>
          </w:tcPr>
          <w:p w14:paraId="6D58BD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754" w:type="pct"/>
            <w:noWrap w:val="0"/>
            <w:vAlign w:val="center"/>
          </w:tcPr>
          <w:p w14:paraId="527E1E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733" w:type="pct"/>
            <w:noWrap w:val="0"/>
            <w:vAlign w:val="center"/>
          </w:tcPr>
          <w:p w14:paraId="4D6352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66CF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6607AD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noWrap w:val="0"/>
            <w:vAlign w:val="center"/>
          </w:tcPr>
          <w:p w14:paraId="0B9B62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772" w:type="pct"/>
            <w:shd w:val="clear" w:color="auto" w:fill="auto"/>
            <w:noWrap w:val="0"/>
            <w:vAlign w:val="center"/>
          </w:tcPr>
          <w:p w14:paraId="66CB4A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803" w:type="pct"/>
            <w:shd w:val="clear" w:color="auto" w:fill="auto"/>
            <w:noWrap w:val="0"/>
            <w:vAlign w:val="center"/>
          </w:tcPr>
          <w:p w14:paraId="5D3B5F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71" w:type="pct"/>
            <w:shd w:val="clear" w:color="auto" w:fill="auto"/>
            <w:noWrap w:val="0"/>
            <w:vAlign w:val="center"/>
          </w:tcPr>
          <w:p w14:paraId="0A117C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754" w:type="pct"/>
            <w:shd w:val="clear" w:color="auto" w:fill="auto"/>
            <w:noWrap w:val="0"/>
            <w:vAlign w:val="center"/>
          </w:tcPr>
          <w:p w14:paraId="463BB8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733" w:type="pct"/>
            <w:shd w:val="clear" w:color="auto" w:fill="auto"/>
            <w:noWrap w:val="0"/>
            <w:vAlign w:val="center"/>
          </w:tcPr>
          <w:p w14:paraId="508F16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66FA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58F619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noWrap w:val="0"/>
            <w:vAlign w:val="center"/>
          </w:tcPr>
          <w:p w14:paraId="0EABBA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w:t>
            </w:r>
          </w:p>
          <w:p w14:paraId="68C627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（人/平方千米）</w:t>
            </w:r>
          </w:p>
        </w:tc>
        <w:tc>
          <w:tcPr>
            <w:tcW w:w="772" w:type="pct"/>
            <w:noWrap w:val="0"/>
            <w:vAlign w:val="center"/>
          </w:tcPr>
          <w:p w14:paraId="22ED09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p>
        </w:tc>
        <w:tc>
          <w:tcPr>
            <w:tcW w:w="803" w:type="pct"/>
            <w:noWrap w:val="0"/>
            <w:vAlign w:val="center"/>
          </w:tcPr>
          <w:p w14:paraId="214B81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r>
              <w:rPr>
                <w:rFonts w:hint="eastAsia" w:ascii="Times New Roman" w:hAnsi="Times New Roman" w:eastAsia="仿宋" w:cs="仿宋"/>
                <w:b w:val="0"/>
                <w:bCs w:val="0"/>
                <w:caps w:val="0"/>
                <w:smallCaps w:val="0"/>
                <w:color w:val="auto"/>
                <w:sz w:val="21"/>
                <w:szCs w:val="21"/>
                <w:highlight w:val="none"/>
                <w:lang w:eastAsia="zh-CN"/>
              </w:rPr>
              <w:t>）</w:t>
            </w:r>
          </w:p>
        </w:tc>
        <w:tc>
          <w:tcPr>
            <w:tcW w:w="771" w:type="pct"/>
            <w:noWrap w:val="0"/>
            <w:vAlign w:val="center"/>
          </w:tcPr>
          <w:p w14:paraId="7A9258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p>
        </w:tc>
        <w:tc>
          <w:tcPr>
            <w:tcW w:w="754" w:type="pct"/>
            <w:noWrap w:val="0"/>
            <w:vAlign w:val="center"/>
          </w:tcPr>
          <w:p w14:paraId="0489EE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p>
        </w:tc>
        <w:tc>
          <w:tcPr>
            <w:tcW w:w="733" w:type="pct"/>
            <w:noWrap w:val="0"/>
            <w:vAlign w:val="center"/>
          </w:tcPr>
          <w:p w14:paraId="5AB0E7A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p>
        </w:tc>
      </w:tr>
      <w:tr w14:paraId="2B96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4B8A47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p>
        </w:tc>
        <w:tc>
          <w:tcPr>
            <w:tcW w:w="854" w:type="pct"/>
            <w:shd w:val="clear" w:color="auto" w:fill="auto"/>
            <w:noWrap w:val="0"/>
            <w:vAlign w:val="center"/>
          </w:tcPr>
          <w:p w14:paraId="10761E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772" w:type="pct"/>
            <w:shd w:val="clear" w:color="auto" w:fill="auto"/>
            <w:noWrap w:val="0"/>
            <w:vAlign w:val="center"/>
          </w:tcPr>
          <w:p w14:paraId="62CEFB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100</w:t>
            </w:r>
          </w:p>
        </w:tc>
        <w:tc>
          <w:tcPr>
            <w:tcW w:w="803" w:type="pct"/>
            <w:shd w:val="clear" w:color="auto" w:fill="auto"/>
            <w:noWrap w:val="0"/>
            <w:vAlign w:val="center"/>
          </w:tcPr>
          <w:p w14:paraId="2A43D0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100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p>
        </w:tc>
        <w:tc>
          <w:tcPr>
            <w:tcW w:w="771" w:type="pct"/>
            <w:shd w:val="clear" w:color="auto" w:fill="auto"/>
            <w:noWrap w:val="0"/>
            <w:vAlign w:val="center"/>
          </w:tcPr>
          <w:p w14:paraId="059304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r>
              <w:rPr>
                <w:rFonts w:hint="eastAsia" w:ascii="Times New Roman" w:hAnsi="Times New Roman" w:eastAsia="仿宋" w:cs="仿宋"/>
                <w:b w:val="0"/>
                <w:bCs w:val="0"/>
                <w:caps w:val="0"/>
                <w:smallCaps w:val="0"/>
                <w:color w:val="auto"/>
                <w:sz w:val="21"/>
                <w:szCs w:val="21"/>
                <w:highlight w:val="none"/>
                <w:lang w:eastAsia="zh-CN"/>
              </w:rPr>
              <w:t>）</w:t>
            </w:r>
          </w:p>
        </w:tc>
        <w:tc>
          <w:tcPr>
            <w:tcW w:w="754" w:type="pct"/>
            <w:shd w:val="clear" w:color="auto" w:fill="auto"/>
            <w:noWrap w:val="0"/>
            <w:vAlign w:val="center"/>
          </w:tcPr>
          <w:p w14:paraId="4AA144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800</w:t>
            </w:r>
            <w:r>
              <w:rPr>
                <w:rFonts w:hint="eastAsia" w:ascii="Times New Roman" w:hAnsi="Times New Roman" w:eastAsia="仿宋" w:cs="仿宋"/>
                <w:b w:val="0"/>
                <w:bCs w:val="0"/>
                <w:caps w:val="0"/>
                <w:smallCaps w:val="0"/>
                <w:color w:val="auto"/>
                <w:sz w:val="21"/>
                <w:szCs w:val="21"/>
                <w:highlight w:val="none"/>
                <w:lang w:eastAsia="zh-CN"/>
              </w:rPr>
              <w:t>）</w:t>
            </w:r>
          </w:p>
        </w:tc>
        <w:tc>
          <w:tcPr>
            <w:tcW w:w="733" w:type="pct"/>
            <w:shd w:val="clear" w:color="auto" w:fill="auto"/>
            <w:noWrap w:val="0"/>
            <w:vAlign w:val="center"/>
          </w:tcPr>
          <w:p w14:paraId="2D1254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800</w:t>
            </w:r>
          </w:p>
        </w:tc>
      </w:tr>
      <w:tr w14:paraId="6B2C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549CF3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shd w:val="clear" w:color="auto" w:fill="auto"/>
            <w:noWrap w:val="0"/>
            <w:vAlign w:val="center"/>
          </w:tcPr>
          <w:p w14:paraId="6CA1F70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距车站距离（米）</w:t>
            </w:r>
          </w:p>
        </w:tc>
        <w:tc>
          <w:tcPr>
            <w:tcW w:w="772" w:type="pct"/>
            <w:shd w:val="clear" w:color="auto" w:fill="auto"/>
            <w:noWrap w:val="0"/>
            <w:vAlign w:val="center"/>
          </w:tcPr>
          <w:p w14:paraId="230AAB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p>
        </w:tc>
        <w:tc>
          <w:tcPr>
            <w:tcW w:w="803" w:type="pct"/>
            <w:shd w:val="clear" w:color="auto" w:fill="auto"/>
            <w:noWrap w:val="0"/>
            <w:vAlign w:val="center"/>
          </w:tcPr>
          <w:p w14:paraId="3907120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71" w:type="pct"/>
            <w:shd w:val="clear" w:color="auto" w:fill="auto"/>
            <w:noWrap w:val="0"/>
            <w:vAlign w:val="center"/>
          </w:tcPr>
          <w:p w14:paraId="0A2A5F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54" w:type="pct"/>
            <w:shd w:val="clear" w:color="auto" w:fill="auto"/>
            <w:noWrap w:val="0"/>
            <w:vAlign w:val="center"/>
          </w:tcPr>
          <w:p w14:paraId="7560F3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33" w:type="pct"/>
            <w:shd w:val="clear" w:color="auto" w:fill="auto"/>
            <w:noWrap w:val="0"/>
            <w:vAlign w:val="center"/>
          </w:tcPr>
          <w:p w14:paraId="10EF69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15</w:t>
            </w:r>
            <w:r>
              <w:rPr>
                <w:rFonts w:hint="default" w:ascii="Times New Roman" w:hAnsi="Times New Roman" w:eastAsia="仿宋" w:cs="仿宋"/>
                <w:b w:val="0"/>
                <w:bCs w:val="0"/>
                <w:caps w:val="0"/>
                <w:smallCaps w:val="0"/>
                <w:color w:val="auto"/>
                <w:sz w:val="21"/>
                <w:szCs w:val="21"/>
                <w:highlight w:val="none"/>
                <w:lang w:eastAsia="zh-CN"/>
              </w:rPr>
              <w:t>00</w:t>
            </w:r>
          </w:p>
        </w:tc>
      </w:tr>
      <w:tr w14:paraId="4A8B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restart"/>
            <w:noWrap w:val="0"/>
            <w:vAlign w:val="center"/>
          </w:tcPr>
          <w:p w14:paraId="453332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2CE678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因素</w:t>
            </w:r>
          </w:p>
        </w:tc>
        <w:tc>
          <w:tcPr>
            <w:tcW w:w="854" w:type="pct"/>
            <w:shd w:val="clear" w:color="auto" w:fill="auto"/>
            <w:noWrap w:val="0"/>
            <w:vAlign w:val="center"/>
          </w:tcPr>
          <w:p w14:paraId="333173B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宗地形状</w:t>
            </w:r>
          </w:p>
        </w:tc>
        <w:tc>
          <w:tcPr>
            <w:tcW w:w="772" w:type="pct"/>
            <w:shd w:val="clear" w:color="auto" w:fill="auto"/>
            <w:noWrap w:val="0"/>
            <w:vAlign w:val="center"/>
          </w:tcPr>
          <w:p w14:paraId="446FFE5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形状有利于土地利用</w:t>
            </w:r>
          </w:p>
        </w:tc>
        <w:tc>
          <w:tcPr>
            <w:tcW w:w="803" w:type="pct"/>
            <w:shd w:val="clear" w:color="auto" w:fill="auto"/>
            <w:noWrap w:val="0"/>
            <w:vAlign w:val="center"/>
          </w:tcPr>
          <w:p w14:paraId="1FE869E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形状较规则，不影响土地利用</w:t>
            </w:r>
          </w:p>
        </w:tc>
        <w:tc>
          <w:tcPr>
            <w:tcW w:w="771" w:type="pct"/>
            <w:shd w:val="clear" w:color="auto" w:fill="auto"/>
            <w:noWrap w:val="0"/>
            <w:vAlign w:val="center"/>
          </w:tcPr>
          <w:p w14:paraId="366E9F1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土地形状不规则，但利用正常</w:t>
            </w:r>
          </w:p>
        </w:tc>
        <w:tc>
          <w:tcPr>
            <w:tcW w:w="754" w:type="pct"/>
            <w:shd w:val="clear" w:color="auto" w:fill="auto"/>
            <w:noWrap w:val="0"/>
            <w:vAlign w:val="center"/>
          </w:tcPr>
          <w:p w14:paraId="2CA4C8F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形状不规则，对利用有影响</w:t>
            </w:r>
          </w:p>
        </w:tc>
        <w:tc>
          <w:tcPr>
            <w:tcW w:w="733" w:type="pct"/>
            <w:shd w:val="clear" w:color="auto" w:fill="auto"/>
            <w:noWrap w:val="0"/>
            <w:vAlign w:val="center"/>
          </w:tcPr>
          <w:p w14:paraId="74BA503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形状不规则，对土地利用影响大</w:t>
            </w:r>
          </w:p>
        </w:tc>
      </w:tr>
      <w:tr w14:paraId="6D0C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43BFA6A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shd w:val="clear" w:color="auto" w:fill="auto"/>
            <w:noWrap w:val="0"/>
            <w:vAlign w:val="center"/>
          </w:tcPr>
          <w:p w14:paraId="614F14C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宗地面积</w:t>
            </w:r>
          </w:p>
        </w:tc>
        <w:tc>
          <w:tcPr>
            <w:tcW w:w="772" w:type="pct"/>
            <w:shd w:val="clear" w:color="auto" w:fill="auto"/>
            <w:noWrap w:val="0"/>
            <w:vAlign w:val="center"/>
          </w:tcPr>
          <w:p w14:paraId="0FE345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面积大小特别适于土地利用类型</w:t>
            </w:r>
          </w:p>
        </w:tc>
        <w:tc>
          <w:tcPr>
            <w:tcW w:w="803" w:type="pct"/>
            <w:shd w:val="clear" w:color="auto" w:fill="auto"/>
            <w:noWrap w:val="0"/>
            <w:vAlign w:val="center"/>
          </w:tcPr>
          <w:p w14:paraId="13321CE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面积大小较适于土地利用类型</w:t>
            </w:r>
          </w:p>
        </w:tc>
        <w:tc>
          <w:tcPr>
            <w:tcW w:w="771" w:type="pct"/>
            <w:shd w:val="clear" w:color="auto" w:fill="auto"/>
            <w:noWrap w:val="0"/>
            <w:vAlign w:val="center"/>
          </w:tcPr>
          <w:p w14:paraId="3C0B98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面积大小对土地利用无影响</w:t>
            </w:r>
          </w:p>
        </w:tc>
        <w:tc>
          <w:tcPr>
            <w:tcW w:w="754" w:type="pct"/>
            <w:shd w:val="clear" w:color="auto" w:fill="auto"/>
            <w:noWrap w:val="0"/>
            <w:vAlign w:val="center"/>
          </w:tcPr>
          <w:p w14:paraId="013C45B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相对土地利用类型偏大或偏小</w:t>
            </w:r>
          </w:p>
        </w:tc>
        <w:tc>
          <w:tcPr>
            <w:tcW w:w="733" w:type="pct"/>
            <w:shd w:val="clear" w:color="auto" w:fill="auto"/>
            <w:noWrap w:val="0"/>
            <w:vAlign w:val="center"/>
          </w:tcPr>
          <w:p w14:paraId="015929B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面积大小不适合土地利用类型</w:t>
            </w:r>
          </w:p>
        </w:tc>
      </w:tr>
      <w:tr w14:paraId="1E4D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1BE801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shd w:val="clear" w:color="auto" w:fill="auto"/>
            <w:noWrap w:val="0"/>
            <w:vAlign w:val="center"/>
          </w:tcPr>
          <w:p w14:paraId="659AFAD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宗地临街道路等级与通达性</w:t>
            </w:r>
          </w:p>
        </w:tc>
        <w:tc>
          <w:tcPr>
            <w:tcW w:w="772" w:type="pct"/>
            <w:shd w:val="clear" w:color="auto" w:fill="auto"/>
            <w:noWrap w:val="0"/>
            <w:vAlign w:val="center"/>
          </w:tcPr>
          <w:p w14:paraId="4D4CB05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两面临主干道</w:t>
            </w:r>
          </w:p>
        </w:tc>
        <w:tc>
          <w:tcPr>
            <w:tcW w:w="803" w:type="pct"/>
            <w:shd w:val="clear" w:color="auto" w:fill="auto"/>
            <w:noWrap w:val="0"/>
            <w:vAlign w:val="center"/>
          </w:tcPr>
          <w:p w14:paraId="2E0DAF5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两面临街、其中一面邻主干道</w:t>
            </w:r>
          </w:p>
        </w:tc>
        <w:tc>
          <w:tcPr>
            <w:tcW w:w="771" w:type="pct"/>
            <w:shd w:val="clear" w:color="auto" w:fill="auto"/>
            <w:noWrap w:val="0"/>
            <w:vAlign w:val="center"/>
          </w:tcPr>
          <w:p w14:paraId="6CD771C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一面临主干道或两面临次干道</w:t>
            </w:r>
          </w:p>
        </w:tc>
        <w:tc>
          <w:tcPr>
            <w:tcW w:w="754" w:type="pct"/>
            <w:shd w:val="clear" w:color="auto" w:fill="auto"/>
            <w:noWrap w:val="0"/>
            <w:vAlign w:val="center"/>
          </w:tcPr>
          <w:p w14:paraId="6E0D224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一面临次干道或支路</w:t>
            </w:r>
          </w:p>
        </w:tc>
        <w:tc>
          <w:tcPr>
            <w:tcW w:w="733" w:type="pct"/>
            <w:shd w:val="clear" w:color="auto" w:fill="auto"/>
            <w:noWrap w:val="0"/>
            <w:vAlign w:val="center"/>
          </w:tcPr>
          <w:p w14:paraId="1F44932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不临街</w:t>
            </w:r>
          </w:p>
        </w:tc>
      </w:tr>
      <w:tr w14:paraId="4BBA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26BC5D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shd w:val="clear" w:color="auto" w:fill="auto"/>
            <w:noWrap w:val="0"/>
            <w:vAlign w:val="center"/>
          </w:tcPr>
          <w:p w14:paraId="5842D89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临街宽度（米）</w:t>
            </w:r>
          </w:p>
        </w:tc>
        <w:tc>
          <w:tcPr>
            <w:tcW w:w="772" w:type="pct"/>
            <w:shd w:val="clear" w:color="auto" w:fill="auto"/>
            <w:noWrap w:val="0"/>
            <w:vAlign w:val="center"/>
          </w:tcPr>
          <w:p w14:paraId="351A4E0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≥15</w:t>
            </w:r>
          </w:p>
        </w:tc>
        <w:tc>
          <w:tcPr>
            <w:tcW w:w="803" w:type="pct"/>
            <w:shd w:val="clear" w:color="auto" w:fill="auto"/>
            <w:noWrap w:val="0"/>
            <w:vAlign w:val="center"/>
          </w:tcPr>
          <w:p w14:paraId="3598E55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[10-15</w:t>
            </w:r>
            <w:r>
              <w:rPr>
                <w:rFonts w:hint="eastAsia" w:ascii="Times New Roman" w:hAnsi="Times New Roman" w:eastAsia="仿宋" w:cs="仿宋"/>
                <w:b w:val="0"/>
                <w:bCs w:val="0"/>
                <w:caps w:val="0"/>
                <w:smallCaps w:val="0"/>
                <w:color w:val="auto"/>
                <w:sz w:val="21"/>
                <w:szCs w:val="21"/>
                <w:highlight w:val="none"/>
                <w:lang w:eastAsia="zh-CN"/>
              </w:rPr>
              <w:t>）</w:t>
            </w:r>
          </w:p>
        </w:tc>
        <w:tc>
          <w:tcPr>
            <w:tcW w:w="771" w:type="pct"/>
            <w:shd w:val="clear" w:color="auto" w:fill="auto"/>
            <w:noWrap w:val="0"/>
            <w:vAlign w:val="center"/>
          </w:tcPr>
          <w:p w14:paraId="22343CB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754" w:type="pct"/>
            <w:shd w:val="clear" w:color="auto" w:fill="auto"/>
            <w:noWrap w:val="0"/>
            <w:vAlign w:val="center"/>
          </w:tcPr>
          <w:p w14:paraId="28B84CB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[3-6</w:t>
            </w:r>
            <w:r>
              <w:rPr>
                <w:rFonts w:hint="eastAsia" w:ascii="Times New Roman" w:hAnsi="Times New Roman" w:eastAsia="仿宋" w:cs="仿宋"/>
                <w:b w:val="0"/>
                <w:bCs w:val="0"/>
                <w:caps w:val="0"/>
                <w:smallCaps w:val="0"/>
                <w:color w:val="auto"/>
                <w:sz w:val="21"/>
                <w:szCs w:val="21"/>
                <w:highlight w:val="none"/>
                <w:lang w:eastAsia="zh-CN"/>
              </w:rPr>
              <w:t>）</w:t>
            </w:r>
          </w:p>
        </w:tc>
        <w:tc>
          <w:tcPr>
            <w:tcW w:w="733" w:type="pct"/>
            <w:shd w:val="clear" w:color="auto" w:fill="auto"/>
            <w:noWrap w:val="0"/>
            <w:vAlign w:val="center"/>
          </w:tcPr>
          <w:p w14:paraId="0D8F01A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＜3</w:t>
            </w:r>
          </w:p>
        </w:tc>
      </w:tr>
      <w:tr w14:paraId="26E9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0" w:type="pct"/>
            <w:vMerge w:val="continue"/>
            <w:noWrap w:val="0"/>
            <w:vAlign w:val="center"/>
          </w:tcPr>
          <w:p w14:paraId="2D94B5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shd w:val="clear" w:color="auto" w:fill="auto"/>
            <w:noWrap w:val="0"/>
            <w:vAlign w:val="center"/>
          </w:tcPr>
          <w:p w14:paraId="140315C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临街深度（米）</w:t>
            </w:r>
          </w:p>
        </w:tc>
        <w:tc>
          <w:tcPr>
            <w:tcW w:w="772" w:type="pct"/>
            <w:shd w:val="clear" w:color="auto" w:fill="auto"/>
            <w:noWrap w:val="0"/>
            <w:vAlign w:val="center"/>
          </w:tcPr>
          <w:p w14:paraId="5F4C472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＜6</w:t>
            </w:r>
          </w:p>
        </w:tc>
        <w:tc>
          <w:tcPr>
            <w:tcW w:w="803" w:type="pct"/>
            <w:shd w:val="clear" w:color="auto" w:fill="auto"/>
            <w:noWrap w:val="0"/>
            <w:vAlign w:val="center"/>
          </w:tcPr>
          <w:p w14:paraId="4E25BFC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771" w:type="pct"/>
            <w:shd w:val="clear" w:color="auto" w:fill="auto"/>
            <w:noWrap w:val="0"/>
            <w:vAlign w:val="center"/>
          </w:tcPr>
          <w:p w14:paraId="5959296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[10-12</w:t>
            </w:r>
            <w:r>
              <w:rPr>
                <w:rFonts w:hint="eastAsia" w:ascii="Times New Roman" w:hAnsi="Times New Roman" w:eastAsia="仿宋" w:cs="仿宋"/>
                <w:b w:val="0"/>
                <w:bCs w:val="0"/>
                <w:caps w:val="0"/>
                <w:smallCaps w:val="0"/>
                <w:color w:val="auto"/>
                <w:sz w:val="21"/>
                <w:szCs w:val="21"/>
                <w:highlight w:val="none"/>
                <w:lang w:eastAsia="zh-CN"/>
              </w:rPr>
              <w:t>）</w:t>
            </w:r>
          </w:p>
        </w:tc>
        <w:tc>
          <w:tcPr>
            <w:tcW w:w="754" w:type="pct"/>
            <w:shd w:val="clear" w:color="auto" w:fill="auto"/>
            <w:noWrap w:val="0"/>
            <w:vAlign w:val="center"/>
          </w:tcPr>
          <w:p w14:paraId="0F0EBF2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[12-15</w:t>
            </w:r>
            <w:r>
              <w:rPr>
                <w:rFonts w:hint="eastAsia" w:ascii="Times New Roman" w:hAnsi="Times New Roman" w:eastAsia="仿宋" w:cs="仿宋"/>
                <w:b w:val="0"/>
                <w:bCs w:val="0"/>
                <w:caps w:val="0"/>
                <w:smallCaps w:val="0"/>
                <w:color w:val="auto"/>
                <w:sz w:val="21"/>
                <w:szCs w:val="21"/>
                <w:highlight w:val="none"/>
                <w:lang w:eastAsia="zh-CN"/>
              </w:rPr>
              <w:t>）</w:t>
            </w:r>
          </w:p>
        </w:tc>
        <w:tc>
          <w:tcPr>
            <w:tcW w:w="733" w:type="pct"/>
            <w:shd w:val="clear" w:color="auto" w:fill="auto"/>
            <w:noWrap w:val="0"/>
            <w:vAlign w:val="center"/>
          </w:tcPr>
          <w:p w14:paraId="3F01C92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≥15</w:t>
            </w:r>
          </w:p>
        </w:tc>
      </w:tr>
    </w:tbl>
    <w:p w14:paraId="5D9FD712">
      <w:pPr>
        <w:rPr>
          <w:rFonts w:hint="eastAsia" w:ascii="Times New Roman" w:hAnsi="Times New Roman" w:eastAsia="仿宋" w:cs="仿宋"/>
          <w:b/>
          <w:caps w:val="0"/>
          <w:smallCaps w:val="0"/>
          <w:color w:val="auto"/>
          <w:sz w:val="24"/>
          <w:highlight w:val="none"/>
        </w:rPr>
      </w:pPr>
      <w:r>
        <w:rPr>
          <w:rFonts w:hint="eastAsia" w:ascii="Times New Roman" w:hAnsi="Times New Roman" w:eastAsia="仿宋" w:cs="仿宋"/>
          <w:b/>
          <w:caps w:val="0"/>
          <w:smallCaps w:val="0"/>
          <w:color w:val="auto"/>
          <w:sz w:val="24"/>
          <w:highlight w:val="none"/>
        </w:rPr>
        <w:br w:type="page"/>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9"/>
        <w:gridCol w:w="1182"/>
        <w:gridCol w:w="1215"/>
        <w:gridCol w:w="1304"/>
        <w:gridCol w:w="1229"/>
        <w:gridCol w:w="1291"/>
        <w:gridCol w:w="1319"/>
      </w:tblGrid>
      <w:tr w14:paraId="7150A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5000" w:type="pct"/>
            <w:gridSpan w:val="7"/>
            <w:tcBorders>
              <w:top w:val="nil"/>
              <w:left w:val="nil"/>
              <w:bottom w:val="nil"/>
              <w:right w:val="nil"/>
            </w:tcBorders>
            <w:shd w:val="clear" w:color="auto" w:fill="auto"/>
            <w:noWrap/>
            <w:vAlign w:val="center"/>
          </w:tcPr>
          <w:p w14:paraId="2DFDFFCA">
            <w:pPr>
              <w:jc w:val="center"/>
              <w:rPr>
                <w:rFonts w:hint="eastAsia" w:ascii="Times New Roman" w:hAnsi="Times New Roman" w:eastAsia="仿宋" w:cs="仿宋"/>
                <w:i w:val="0"/>
                <w:iCs w:val="0"/>
                <w:caps w:val="0"/>
                <w:smallCaps w:val="0"/>
                <w:color w:val="auto"/>
                <w:sz w:val="21"/>
                <w:szCs w:val="21"/>
                <w:highlight w:val="none"/>
                <w:u w:val="none"/>
              </w:rPr>
            </w:pPr>
            <w:r>
              <w:rPr>
                <w:rFonts w:hint="eastAsia" w:ascii="Times New Roman" w:hAnsi="Times New Roman" w:eastAsia="仿宋" w:cs="仿宋"/>
                <w:b/>
                <w:caps w:val="0"/>
                <w:smallCaps w:val="0"/>
                <w:color w:val="auto"/>
                <w:sz w:val="24"/>
                <w:szCs w:val="24"/>
                <w:highlight w:val="none"/>
              </w:rPr>
              <w:br w:type="page"/>
            </w:r>
            <w:bookmarkStart w:id="26" w:name="_Toc14963"/>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w:t>
            </w:r>
            <w:r>
              <w:rPr>
                <w:rFonts w:hint="eastAsia" w:ascii="Times New Roman" w:hAnsi="Times New Roman" w:eastAsia="仿宋" w:cs="仿宋"/>
                <w:b/>
                <w:caps w:val="0"/>
                <w:smallCaps w:val="0"/>
                <w:color w:val="auto"/>
                <w:sz w:val="24"/>
                <w:szCs w:val="24"/>
                <w:highlight w:val="none"/>
                <w:lang w:val="en-US" w:eastAsia="zh-CN"/>
              </w:rPr>
              <w:t xml:space="preserve">   Ⅰ级商业服务业用地地价地价影响因素指标说明表</w:t>
            </w:r>
            <w:bookmarkEnd w:id="26"/>
          </w:p>
        </w:tc>
      </w:tr>
      <w:tr w14:paraId="4B2E0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07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D9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31E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9E8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0D7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1E6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0C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4F6D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16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DB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34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0.0229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CB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09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964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-0.0130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CC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-0.0261 </w:t>
            </w:r>
          </w:p>
        </w:tc>
      </w:tr>
      <w:tr w14:paraId="7C345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B1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AD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252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0.0208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7A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0.0104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78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F5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-0.0118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66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-0.0237 </w:t>
            </w:r>
          </w:p>
        </w:tc>
      </w:tr>
      <w:tr w14:paraId="1AF1B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1A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E1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A8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F0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F1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F4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DE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-0.0190 </w:t>
            </w:r>
          </w:p>
        </w:tc>
      </w:tr>
      <w:tr w14:paraId="4BCC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B8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21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AC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1C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0.0073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73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62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86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-0.0166 </w:t>
            </w:r>
          </w:p>
        </w:tc>
      </w:tr>
      <w:tr w14:paraId="1FDD4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21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1E4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0.05</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B4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0.0104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CE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AE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07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-0.0059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6A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-0.0118 </w:t>
            </w:r>
          </w:p>
        </w:tc>
      </w:tr>
      <w:tr w14:paraId="21314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20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CC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5D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73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58F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F0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2F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r w14:paraId="3EDB1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1A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41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31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0.0333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14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0.0166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69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70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-0.0190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C7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-0.0379 </w:t>
            </w:r>
          </w:p>
        </w:tc>
      </w:tr>
      <w:tr w14:paraId="15CEF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48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距车站距离</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AC5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17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33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D3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8B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7B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r w14:paraId="01088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90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46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7AE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C1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B9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AB4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F8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r w14:paraId="34039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35E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61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42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52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074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30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44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r w14:paraId="7FCC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F5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宗地临街道路等级与通达性</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AF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2E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0.0146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39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0.0073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20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F4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FA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-0.0166 </w:t>
            </w:r>
          </w:p>
        </w:tc>
      </w:tr>
      <w:tr w14:paraId="4449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34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临街宽度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B7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AD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41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70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CD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56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r w14:paraId="4BEA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E5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临街深度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11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F2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0.0125 </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D8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0.0062 </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56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60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61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-0.0142 </w:t>
            </w:r>
          </w:p>
        </w:tc>
      </w:tr>
    </w:tbl>
    <w:p w14:paraId="2CE4E47A">
      <w:pPr>
        <w:keepNext w:val="0"/>
        <w:keepLines w:val="0"/>
        <w:pageBreakBefore w:val="0"/>
        <w:widowControl/>
        <w:kinsoku/>
        <w:wordWrap/>
        <w:overflowPunct/>
        <w:topLinePunct w:val="0"/>
        <w:autoSpaceDE/>
        <w:autoSpaceDN/>
        <w:bidi w:val="0"/>
        <w:adjustRightInd/>
        <w:snapToGrid/>
        <w:spacing w:before="136" w:beforeLines="50"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4F128CCD">
      <w:pPr>
        <w:keepNext w:val="0"/>
        <w:keepLines w:val="0"/>
        <w:pageBreakBefore w:val="0"/>
        <w:widowControl/>
        <w:kinsoku/>
        <w:wordWrap/>
        <w:overflowPunct/>
        <w:topLinePunct w:val="0"/>
        <w:autoSpaceDE/>
        <w:autoSpaceDN/>
        <w:bidi w:val="0"/>
        <w:adjustRightInd/>
        <w:snapToGrid/>
        <w:spacing w:before="136" w:beforeLines="50"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2-3</w:t>
      </w:r>
      <w:r>
        <w:rPr>
          <w:rFonts w:hint="eastAsia" w:ascii="Times New Roman" w:hAnsi="Times New Roman" w:eastAsia="仿宋" w:cs="仿宋"/>
          <w:b/>
          <w:caps w:val="0"/>
          <w:smallCaps w:val="0"/>
          <w:color w:val="auto"/>
          <w:sz w:val="24"/>
          <w:highlight w:val="none"/>
        </w:rPr>
        <w:t xml:space="preserve">  Ⅱ级</w:t>
      </w:r>
      <w:r>
        <w:rPr>
          <w:rFonts w:hint="eastAsia" w:ascii="Times New Roman" w:hAnsi="Times New Roman" w:eastAsia="仿宋" w:cs="仿宋"/>
          <w:b/>
          <w:caps w:val="0"/>
          <w:smallCaps w:val="0"/>
          <w:color w:val="auto"/>
          <w:sz w:val="24"/>
          <w:highlight w:val="none"/>
          <w:lang w:eastAsia="zh-CN"/>
        </w:rPr>
        <w:t>商业服务业</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4997" w:type="pct"/>
        <w:jc w:val="center"/>
        <w:tblLayout w:type="autofit"/>
        <w:tblCellMar>
          <w:top w:w="0" w:type="dxa"/>
          <w:left w:w="108" w:type="dxa"/>
          <w:bottom w:w="0" w:type="dxa"/>
          <w:right w:w="108" w:type="dxa"/>
        </w:tblCellMar>
      </w:tblPr>
      <w:tblGrid>
        <w:gridCol w:w="537"/>
        <w:gridCol w:w="1491"/>
        <w:gridCol w:w="1339"/>
        <w:gridCol w:w="1391"/>
        <w:gridCol w:w="1337"/>
        <w:gridCol w:w="1406"/>
        <w:gridCol w:w="1213"/>
      </w:tblGrid>
      <w:tr w14:paraId="421BF80C">
        <w:tblPrEx>
          <w:tblCellMar>
            <w:top w:w="0" w:type="dxa"/>
            <w:left w:w="108" w:type="dxa"/>
            <w:bottom w:w="0" w:type="dxa"/>
            <w:right w:w="108" w:type="dxa"/>
          </w:tblCellMar>
        </w:tblPrEx>
        <w:trPr>
          <w:trHeight w:val="312" w:hRule="atLeast"/>
          <w:jc w:val="center"/>
        </w:trPr>
        <w:tc>
          <w:tcPr>
            <w:tcW w:w="1165" w:type="pct"/>
            <w:gridSpan w:val="2"/>
            <w:tcBorders>
              <w:top w:val="single" w:color="auto" w:sz="4" w:space="0"/>
              <w:left w:val="single" w:color="auto" w:sz="4" w:space="0"/>
              <w:bottom w:val="single" w:color="auto" w:sz="4" w:space="0"/>
              <w:right w:val="single" w:color="auto" w:sz="4" w:space="0"/>
            </w:tcBorders>
            <w:noWrap w:val="0"/>
            <w:vAlign w:val="center"/>
          </w:tcPr>
          <w:p w14:paraId="798B9F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影响因素</w:t>
            </w:r>
          </w:p>
        </w:tc>
        <w:tc>
          <w:tcPr>
            <w:tcW w:w="769" w:type="pct"/>
            <w:tcBorders>
              <w:top w:val="single" w:color="auto" w:sz="4" w:space="0"/>
              <w:left w:val="nil"/>
              <w:bottom w:val="single" w:color="auto" w:sz="4" w:space="0"/>
              <w:right w:val="single" w:color="auto" w:sz="4" w:space="0"/>
            </w:tcBorders>
            <w:noWrap w:val="0"/>
            <w:vAlign w:val="center"/>
          </w:tcPr>
          <w:p w14:paraId="7B1EF9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优</w:t>
            </w:r>
          </w:p>
        </w:tc>
        <w:tc>
          <w:tcPr>
            <w:tcW w:w="799" w:type="pct"/>
            <w:tcBorders>
              <w:top w:val="single" w:color="auto" w:sz="4" w:space="0"/>
              <w:left w:val="nil"/>
              <w:bottom w:val="single" w:color="auto" w:sz="4" w:space="0"/>
              <w:right w:val="single" w:color="auto" w:sz="4" w:space="0"/>
            </w:tcBorders>
            <w:noWrap w:val="0"/>
            <w:vAlign w:val="center"/>
          </w:tcPr>
          <w:p w14:paraId="4DF932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较优</w:t>
            </w:r>
          </w:p>
        </w:tc>
        <w:tc>
          <w:tcPr>
            <w:tcW w:w="768" w:type="pct"/>
            <w:tcBorders>
              <w:top w:val="single" w:color="auto" w:sz="4" w:space="0"/>
              <w:left w:val="nil"/>
              <w:bottom w:val="single" w:color="auto" w:sz="4" w:space="0"/>
              <w:right w:val="single" w:color="auto" w:sz="4" w:space="0"/>
            </w:tcBorders>
            <w:noWrap w:val="0"/>
            <w:vAlign w:val="center"/>
          </w:tcPr>
          <w:p w14:paraId="6254AE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一般</w:t>
            </w:r>
          </w:p>
        </w:tc>
        <w:tc>
          <w:tcPr>
            <w:tcW w:w="800" w:type="pct"/>
            <w:tcBorders>
              <w:top w:val="single" w:color="auto" w:sz="4" w:space="0"/>
              <w:left w:val="nil"/>
              <w:bottom w:val="single" w:color="auto" w:sz="4" w:space="0"/>
              <w:right w:val="single" w:color="auto" w:sz="4" w:space="0"/>
            </w:tcBorders>
            <w:noWrap w:val="0"/>
            <w:vAlign w:val="center"/>
          </w:tcPr>
          <w:p w14:paraId="493CD4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较劣</w:t>
            </w:r>
          </w:p>
        </w:tc>
        <w:tc>
          <w:tcPr>
            <w:tcW w:w="696" w:type="pct"/>
            <w:tcBorders>
              <w:top w:val="single" w:color="auto" w:sz="4" w:space="0"/>
              <w:left w:val="nil"/>
              <w:bottom w:val="single" w:color="auto" w:sz="4" w:space="0"/>
              <w:right w:val="single" w:color="auto" w:sz="4" w:space="0"/>
            </w:tcBorders>
            <w:noWrap w:val="0"/>
            <w:vAlign w:val="center"/>
          </w:tcPr>
          <w:p w14:paraId="416B33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劣</w:t>
            </w:r>
          </w:p>
        </w:tc>
      </w:tr>
      <w:tr w14:paraId="4CF7624C">
        <w:tblPrEx>
          <w:tblCellMar>
            <w:top w:w="0" w:type="dxa"/>
            <w:left w:w="108" w:type="dxa"/>
            <w:bottom w:w="0" w:type="dxa"/>
            <w:right w:w="108" w:type="dxa"/>
          </w:tblCellMar>
        </w:tblPrEx>
        <w:trPr>
          <w:trHeight w:val="312" w:hRule="atLeast"/>
          <w:jc w:val="center"/>
        </w:trPr>
        <w:tc>
          <w:tcPr>
            <w:tcW w:w="309" w:type="pct"/>
            <w:vMerge w:val="restart"/>
            <w:tcBorders>
              <w:top w:val="nil"/>
              <w:left w:val="single" w:color="auto" w:sz="4" w:space="0"/>
              <w:right w:val="single" w:color="auto" w:sz="4" w:space="0"/>
            </w:tcBorders>
            <w:noWrap w:val="0"/>
            <w:vAlign w:val="center"/>
          </w:tcPr>
          <w:p w14:paraId="7346A1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区域因素</w:t>
            </w:r>
          </w:p>
        </w:tc>
        <w:tc>
          <w:tcPr>
            <w:tcW w:w="855" w:type="pct"/>
            <w:tcBorders>
              <w:top w:val="nil"/>
              <w:left w:val="nil"/>
              <w:bottom w:val="single" w:color="auto" w:sz="4" w:space="0"/>
              <w:right w:val="single" w:color="auto" w:sz="4" w:space="0"/>
            </w:tcBorders>
            <w:noWrap w:val="0"/>
            <w:vAlign w:val="center"/>
          </w:tcPr>
          <w:p w14:paraId="5D7575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769" w:type="pct"/>
            <w:tcBorders>
              <w:top w:val="nil"/>
              <w:left w:val="nil"/>
              <w:bottom w:val="single" w:color="auto" w:sz="4" w:space="0"/>
              <w:right w:val="single" w:color="auto" w:sz="4" w:space="0"/>
            </w:tcBorders>
            <w:noWrap w:val="0"/>
            <w:vAlign w:val="center"/>
          </w:tcPr>
          <w:p w14:paraId="01B092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799" w:type="pct"/>
            <w:tcBorders>
              <w:top w:val="nil"/>
              <w:left w:val="nil"/>
              <w:bottom w:val="single" w:color="auto" w:sz="4" w:space="0"/>
              <w:right w:val="single" w:color="auto" w:sz="4" w:space="0"/>
            </w:tcBorders>
            <w:noWrap w:val="0"/>
            <w:vAlign w:val="center"/>
          </w:tcPr>
          <w:p w14:paraId="34F56A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68" w:type="pct"/>
            <w:tcBorders>
              <w:top w:val="nil"/>
              <w:left w:val="nil"/>
              <w:bottom w:val="single" w:color="auto" w:sz="4" w:space="0"/>
              <w:right w:val="single" w:color="auto" w:sz="4" w:space="0"/>
            </w:tcBorders>
            <w:noWrap w:val="0"/>
            <w:vAlign w:val="center"/>
          </w:tcPr>
          <w:p w14:paraId="165102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交通型主干道</w:t>
            </w:r>
          </w:p>
        </w:tc>
        <w:tc>
          <w:tcPr>
            <w:tcW w:w="800" w:type="pct"/>
            <w:tcBorders>
              <w:top w:val="nil"/>
              <w:left w:val="nil"/>
              <w:bottom w:val="single" w:color="auto" w:sz="4" w:space="0"/>
              <w:right w:val="single" w:color="auto" w:sz="4" w:space="0"/>
            </w:tcBorders>
            <w:noWrap w:val="0"/>
            <w:vAlign w:val="center"/>
          </w:tcPr>
          <w:p w14:paraId="6AB831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次干道</w:t>
            </w:r>
          </w:p>
        </w:tc>
        <w:tc>
          <w:tcPr>
            <w:tcW w:w="696" w:type="pct"/>
            <w:tcBorders>
              <w:top w:val="nil"/>
              <w:left w:val="nil"/>
              <w:bottom w:val="single" w:color="auto" w:sz="4" w:space="0"/>
              <w:right w:val="single" w:color="auto" w:sz="4" w:space="0"/>
            </w:tcBorders>
            <w:noWrap w:val="0"/>
            <w:vAlign w:val="center"/>
          </w:tcPr>
          <w:p w14:paraId="0C9DF7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支路</w:t>
            </w:r>
          </w:p>
        </w:tc>
      </w:tr>
      <w:tr w14:paraId="6DC1ED78">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542FA2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7EA9D2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769" w:type="pct"/>
            <w:tcBorders>
              <w:top w:val="nil"/>
              <w:left w:val="nil"/>
              <w:bottom w:val="single" w:color="auto" w:sz="4" w:space="0"/>
              <w:right w:val="single" w:color="auto" w:sz="4" w:space="0"/>
            </w:tcBorders>
            <w:noWrap w:val="0"/>
            <w:vAlign w:val="center"/>
          </w:tcPr>
          <w:p w14:paraId="4332CC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799" w:type="pct"/>
            <w:tcBorders>
              <w:top w:val="nil"/>
              <w:left w:val="nil"/>
              <w:bottom w:val="single" w:color="auto" w:sz="4" w:space="0"/>
              <w:right w:val="single" w:color="auto" w:sz="4" w:space="0"/>
            </w:tcBorders>
            <w:noWrap w:val="0"/>
            <w:vAlign w:val="center"/>
          </w:tcPr>
          <w:p w14:paraId="5E117C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68" w:type="pct"/>
            <w:tcBorders>
              <w:top w:val="nil"/>
              <w:left w:val="nil"/>
              <w:bottom w:val="single" w:color="auto" w:sz="4" w:space="0"/>
              <w:right w:val="single" w:color="auto" w:sz="4" w:space="0"/>
            </w:tcBorders>
            <w:noWrap w:val="0"/>
            <w:vAlign w:val="center"/>
          </w:tcPr>
          <w:p w14:paraId="539E46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800" w:type="pct"/>
            <w:tcBorders>
              <w:top w:val="nil"/>
              <w:left w:val="nil"/>
              <w:bottom w:val="single" w:color="auto" w:sz="4" w:space="0"/>
              <w:right w:val="single" w:color="auto" w:sz="4" w:space="0"/>
            </w:tcBorders>
            <w:noWrap w:val="0"/>
            <w:vAlign w:val="center"/>
          </w:tcPr>
          <w:p w14:paraId="4C0023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96" w:type="pct"/>
            <w:tcBorders>
              <w:top w:val="nil"/>
              <w:left w:val="nil"/>
              <w:bottom w:val="single" w:color="auto" w:sz="4" w:space="0"/>
              <w:right w:val="single" w:color="auto" w:sz="4" w:space="0"/>
            </w:tcBorders>
            <w:noWrap w:val="0"/>
            <w:vAlign w:val="center"/>
          </w:tcPr>
          <w:p w14:paraId="70E39F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4BCC492F">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3404AA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5A80F2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1282" w:type="dxa"/>
            <w:tcBorders>
              <w:top w:val="nil"/>
              <w:left w:val="nil"/>
              <w:bottom w:val="single" w:color="auto" w:sz="4" w:space="0"/>
              <w:right w:val="single" w:color="auto" w:sz="4" w:space="0"/>
            </w:tcBorders>
            <w:noWrap w:val="0"/>
            <w:vAlign w:val="center"/>
          </w:tcPr>
          <w:p w14:paraId="59C44C57">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7" w:name="_Toc6061"/>
            <w:r>
              <w:rPr>
                <w:rFonts w:hint="eastAsia" w:ascii="仿宋" w:hAnsi="仿宋" w:eastAsia="仿宋" w:cs="仿宋"/>
                <w:b w:val="0"/>
                <w:bCs w:val="0"/>
                <w:sz w:val="21"/>
                <w:szCs w:val="21"/>
                <w:lang w:eastAsia="zh-CN"/>
              </w:rPr>
              <w:t>集中供水充足、保证率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%以上</w:t>
            </w:r>
            <w:bookmarkEnd w:id="27"/>
          </w:p>
        </w:tc>
        <w:tc>
          <w:tcPr>
            <w:tcW w:w="1336" w:type="dxa"/>
            <w:tcBorders>
              <w:top w:val="nil"/>
              <w:left w:val="nil"/>
              <w:bottom w:val="single" w:color="auto" w:sz="4" w:space="0"/>
              <w:right w:val="single" w:color="auto" w:sz="4" w:space="0"/>
            </w:tcBorders>
            <w:noWrap w:val="0"/>
            <w:vAlign w:val="center"/>
          </w:tcPr>
          <w:p w14:paraId="3759842B">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8" w:name="_Toc16817"/>
            <w:r>
              <w:rPr>
                <w:rFonts w:hint="eastAsia" w:ascii="仿宋" w:hAnsi="仿宋" w:eastAsia="仿宋" w:cs="仿宋"/>
                <w:b w:val="0"/>
                <w:bCs w:val="0"/>
                <w:sz w:val="21"/>
                <w:szCs w:val="21"/>
                <w:lang w:eastAsia="zh-CN"/>
              </w:rPr>
              <w:t>集中供水较充足、保证率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28"/>
          </w:p>
        </w:tc>
        <w:tc>
          <w:tcPr>
            <w:tcW w:w="1456" w:type="dxa"/>
            <w:tcBorders>
              <w:top w:val="nil"/>
              <w:left w:val="nil"/>
              <w:bottom w:val="single" w:color="auto" w:sz="4" w:space="0"/>
              <w:right w:val="single" w:color="auto" w:sz="4" w:space="0"/>
            </w:tcBorders>
            <w:noWrap w:val="0"/>
            <w:vAlign w:val="center"/>
          </w:tcPr>
          <w:p w14:paraId="1EB9D176">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29" w:name="_Toc28093"/>
            <w:r>
              <w:rPr>
                <w:rFonts w:hint="eastAsia" w:ascii="仿宋" w:hAnsi="仿宋" w:eastAsia="仿宋" w:cs="仿宋"/>
                <w:b w:val="0"/>
                <w:bCs w:val="0"/>
                <w:sz w:val="21"/>
                <w:szCs w:val="21"/>
                <w:lang w:eastAsia="zh-CN"/>
              </w:rPr>
              <w:t>集中供水基本充足、保证率</w:t>
            </w:r>
            <w:r>
              <w:rPr>
                <w:rFonts w:hint="default" w:ascii="Times New Roman" w:hAnsi="Times New Roman" w:eastAsia="仿宋" w:cs="Times New Roman"/>
                <w:b w:val="0"/>
                <w:bCs w:val="0"/>
                <w:sz w:val="21"/>
                <w:szCs w:val="21"/>
                <w:lang w:eastAsia="zh-CN"/>
              </w:rPr>
              <w:t>90</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29"/>
          </w:p>
        </w:tc>
        <w:tc>
          <w:tcPr>
            <w:tcW w:w="1576" w:type="dxa"/>
            <w:tcBorders>
              <w:top w:val="nil"/>
              <w:left w:val="nil"/>
              <w:bottom w:val="single" w:color="auto" w:sz="4" w:space="0"/>
              <w:right w:val="single" w:color="auto" w:sz="4" w:space="0"/>
            </w:tcBorders>
            <w:noWrap w:val="0"/>
            <w:vAlign w:val="center"/>
          </w:tcPr>
          <w:p w14:paraId="70068BB1">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0" w:name="_Toc23996"/>
            <w:r>
              <w:rPr>
                <w:rFonts w:hint="default" w:ascii="Times New Roman" w:hAnsi="Times New Roman" w:eastAsia="仿宋" w:cs="Times New Roman"/>
                <w:b w:val="0"/>
                <w:bCs w:val="0"/>
                <w:sz w:val="21"/>
                <w:szCs w:val="21"/>
                <w:lang w:eastAsia="zh-CN"/>
              </w:rPr>
              <w:t>集中供水保证率低、保证率</w:t>
            </w:r>
            <w:r>
              <w:rPr>
                <w:rFonts w:hint="default" w:ascii="Times New Roman" w:hAnsi="Times New Roman" w:cs="Times New Roman"/>
                <w:b w:val="0"/>
                <w:bCs w:val="0"/>
                <w:sz w:val="21"/>
                <w:szCs w:val="21"/>
                <w:lang w:val="en-US" w:eastAsia="zh-CN"/>
              </w:rPr>
              <w:t>50</w:t>
            </w:r>
            <w:r>
              <w:rPr>
                <w:rFonts w:hint="default" w:ascii="Times New Roman" w:hAnsi="Times New Roman" w:eastAsia="仿宋" w:cs="Times New Roman"/>
                <w:b w:val="0"/>
                <w:bCs w:val="0"/>
                <w:sz w:val="21"/>
                <w:szCs w:val="21"/>
                <w:lang w:eastAsia="zh-CN"/>
              </w:rPr>
              <w:t>%</w:t>
            </w:r>
            <w:r>
              <w:rPr>
                <w:rFonts w:hint="default" w:ascii="Times New Roman" w:hAnsi="Times New Roman" w:cs="Times New Roman"/>
                <w:b w:val="0"/>
                <w:bCs w:val="0"/>
                <w:sz w:val="21"/>
                <w:szCs w:val="21"/>
                <w:lang w:val="en-US" w:eastAsia="zh-CN"/>
              </w:rPr>
              <w:t>-</w:t>
            </w:r>
            <w:r>
              <w:rPr>
                <w:rFonts w:hint="default" w:ascii="Times New Roman" w:hAnsi="Times New Roman" w:eastAsia="仿宋" w:cs="Times New Roman"/>
                <w:b w:val="0"/>
                <w:bCs w:val="0"/>
                <w:sz w:val="21"/>
                <w:szCs w:val="21"/>
                <w:lang w:eastAsia="zh-CN"/>
              </w:rPr>
              <w:t>90%</w:t>
            </w:r>
            <w:bookmarkEnd w:id="30"/>
          </w:p>
        </w:tc>
        <w:tc>
          <w:tcPr>
            <w:tcW w:w="1154" w:type="dxa"/>
            <w:tcBorders>
              <w:top w:val="nil"/>
              <w:left w:val="nil"/>
              <w:bottom w:val="single" w:color="auto" w:sz="4" w:space="0"/>
              <w:right w:val="single" w:color="auto" w:sz="4" w:space="0"/>
            </w:tcBorders>
            <w:noWrap w:val="0"/>
            <w:vAlign w:val="center"/>
          </w:tcPr>
          <w:p w14:paraId="7C4E8CFA">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1" w:name="_Toc6665"/>
            <w:r>
              <w:rPr>
                <w:rFonts w:hint="eastAsia" w:ascii="仿宋" w:hAnsi="仿宋" w:eastAsia="仿宋" w:cs="仿宋"/>
                <w:b w:val="0"/>
                <w:bCs w:val="0"/>
                <w:sz w:val="21"/>
                <w:szCs w:val="21"/>
                <w:lang w:eastAsia="zh-CN"/>
              </w:rPr>
              <w:t>集中供水保证率低、保证率</w:t>
            </w:r>
            <w:r>
              <w:rPr>
                <w:rFonts w:hint="eastAsia" w:ascii="Times New Roman" w:hAnsi="Times New Roman" w:cs="Times New Roman"/>
                <w:b w:val="0"/>
                <w:bCs w:val="0"/>
                <w:sz w:val="21"/>
                <w:szCs w:val="21"/>
                <w:lang w:val="en-US" w:eastAsia="zh-CN"/>
              </w:rPr>
              <w:t>5</w:t>
            </w:r>
            <w:r>
              <w:rPr>
                <w:rFonts w:hint="default" w:ascii="Times New Roman" w:hAnsi="Times New Roman" w:eastAsia="仿宋" w:cs="Times New Roman"/>
                <w:b w:val="0"/>
                <w:bCs w:val="0"/>
                <w:sz w:val="21"/>
                <w:szCs w:val="21"/>
                <w:lang w:eastAsia="zh-CN"/>
              </w:rPr>
              <w:t>0</w:t>
            </w:r>
            <w:r>
              <w:rPr>
                <w:rFonts w:hint="eastAsia" w:ascii="仿宋" w:hAnsi="仿宋" w:eastAsia="仿宋" w:cs="仿宋"/>
                <w:b w:val="0"/>
                <w:bCs w:val="0"/>
                <w:sz w:val="21"/>
                <w:szCs w:val="21"/>
                <w:lang w:eastAsia="zh-CN"/>
              </w:rPr>
              <w:t>%以下</w:t>
            </w:r>
            <w:bookmarkEnd w:id="31"/>
          </w:p>
        </w:tc>
      </w:tr>
      <w:tr w14:paraId="3E940D72">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3ED40F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5DC6F5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769" w:type="pct"/>
            <w:tcBorders>
              <w:top w:val="nil"/>
              <w:left w:val="nil"/>
              <w:bottom w:val="single" w:color="auto" w:sz="4" w:space="0"/>
              <w:right w:val="single" w:color="auto" w:sz="4" w:space="0"/>
            </w:tcBorders>
            <w:noWrap w:val="0"/>
            <w:vAlign w:val="center"/>
          </w:tcPr>
          <w:p w14:paraId="43A0AA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799" w:type="pct"/>
            <w:tcBorders>
              <w:top w:val="nil"/>
              <w:left w:val="nil"/>
              <w:bottom w:val="single" w:color="auto" w:sz="4" w:space="0"/>
              <w:right w:val="single" w:color="auto" w:sz="4" w:space="0"/>
            </w:tcBorders>
            <w:noWrap w:val="0"/>
            <w:vAlign w:val="center"/>
          </w:tcPr>
          <w:p w14:paraId="26FE61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68" w:type="pct"/>
            <w:tcBorders>
              <w:top w:val="nil"/>
              <w:left w:val="nil"/>
              <w:bottom w:val="single" w:color="auto" w:sz="4" w:space="0"/>
              <w:right w:val="single" w:color="auto" w:sz="4" w:space="0"/>
            </w:tcBorders>
            <w:noWrap w:val="0"/>
            <w:vAlign w:val="center"/>
          </w:tcPr>
          <w:p w14:paraId="797DB6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800" w:type="pct"/>
            <w:tcBorders>
              <w:top w:val="nil"/>
              <w:left w:val="nil"/>
              <w:bottom w:val="single" w:color="auto" w:sz="4" w:space="0"/>
              <w:right w:val="single" w:color="auto" w:sz="4" w:space="0"/>
            </w:tcBorders>
            <w:noWrap w:val="0"/>
            <w:vAlign w:val="center"/>
          </w:tcPr>
          <w:p w14:paraId="4AC1CC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96" w:type="pct"/>
            <w:tcBorders>
              <w:top w:val="nil"/>
              <w:left w:val="nil"/>
              <w:bottom w:val="single" w:color="auto" w:sz="4" w:space="0"/>
              <w:right w:val="single" w:color="auto" w:sz="4" w:space="0"/>
            </w:tcBorders>
            <w:noWrap w:val="0"/>
            <w:vAlign w:val="center"/>
          </w:tcPr>
          <w:p w14:paraId="290084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68DFA77F">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1BA02E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62DD9F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769" w:type="pct"/>
            <w:tcBorders>
              <w:top w:val="nil"/>
              <w:left w:val="nil"/>
              <w:bottom w:val="single" w:color="auto" w:sz="4" w:space="0"/>
              <w:right w:val="single" w:color="auto" w:sz="4" w:space="0"/>
            </w:tcBorders>
            <w:shd w:val="clear" w:color="auto" w:fill="auto"/>
            <w:noWrap w:val="0"/>
            <w:vAlign w:val="center"/>
          </w:tcPr>
          <w:p w14:paraId="134DAA2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799" w:type="pct"/>
            <w:tcBorders>
              <w:top w:val="nil"/>
              <w:left w:val="nil"/>
              <w:bottom w:val="single" w:color="auto" w:sz="4" w:space="0"/>
              <w:right w:val="single" w:color="auto" w:sz="4" w:space="0"/>
            </w:tcBorders>
            <w:shd w:val="clear" w:color="auto" w:fill="auto"/>
            <w:noWrap w:val="0"/>
            <w:vAlign w:val="center"/>
          </w:tcPr>
          <w:p w14:paraId="746FAFF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68" w:type="pct"/>
            <w:tcBorders>
              <w:top w:val="nil"/>
              <w:left w:val="nil"/>
              <w:bottom w:val="single" w:color="auto" w:sz="4" w:space="0"/>
              <w:right w:val="single" w:color="auto" w:sz="4" w:space="0"/>
            </w:tcBorders>
            <w:shd w:val="clear" w:color="auto" w:fill="auto"/>
            <w:noWrap w:val="0"/>
            <w:vAlign w:val="center"/>
          </w:tcPr>
          <w:p w14:paraId="198BEAC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800" w:type="pct"/>
            <w:tcBorders>
              <w:top w:val="nil"/>
              <w:left w:val="nil"/>
              <w:bottom w:val="single" w:color="auto" w:sz="4" w:space="0"/>
              <w:right w:val="single" w:color="auto" w:sz="4" w:space="0"/>
            </w:tcBorders>
            <w:shd w:val="clear" w:color="auto" w:fill="auto"/>
            <w:noWrap w:val="0"/>
            <w:vAlign w:val="center"/>
          </w:tcPr>
          <w:p w14:paraId="3BEDAF5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96" w:type="pct"/>
            <w:tcBorders>
              <w:top w:val="nil"/>
              <w:left w:val="nil"/>
              <w:bottom w:val="single" w:color="auto" w:sz="4" w:space="0"/>
              <w:right w:val="single" w:color="auto" w:sz="4" w:space="0"/>
            </w:tcBorders>
            <w:shd w:val="clear" w:color="auto" w:fill="auto"/>
            <w:noWrap w:val="0"/>
            <w:vAlign w:val="center"/>
          </w:tcPr>
          <w:p w14:paraId="70824D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3B959AEA">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25FB112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492818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769" w:type="pct"/>
            <w:tcBorders>
              <w:top w:val="nil"/>
              <w:left w:val="nil"/>
              <w:bottom w:val="single" w:color="auto" w:sz="4" w:space="0"/>
              <w:right w:val="single" w:color="auto" w:sz="4" w:space="0"/>
            </w:tcBorders>
            <w:noWrap w:val="0"/>
            <w:vAlign w:val="center"/>
          </w:tcPr>
          <w:p w14:paraId="1B6AA1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p>
        </w:tc>
        <w:tc>
          <w:tcPr>
            <w:tcW w:w="799" w:type="pct"/>
            <w:tcBorders>
              <w:top w:val="nil"/>
              <w:left w:val="nil"/>
              <w:bottom w:val="single" w:color="auto" w:sz="4" w:space="0"/>
              <w:right w:val="single" w:color="auto" w:sz="4" w:space="0"/>
            </w:tcBorders>
            <w:noWrap w:val="0"/>
            <w:vAlign w:val="center"/>
          </w:tcPr>
          <w:p w14:paraId="20038C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8" w:type="pct"/>
            <w:tcBorders>
              <w:top w:val="nil"/>
              <w:left w:val="nil"/>
              <w:bottom w:val="single" w:color="auto" w:sz="4" w:space="0"/>
              <w:right w:val="single" w:color="auto" w:sz="4" w:space="0"/>
            </w:tcBorders>
            <w:noWrap w:val="0"/>
            <w:vAlign w:val="center"/>
          </w:tcPr>
          <w:p w14:paraId="12E34E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0" w:type="pct"/>
            <w:tcBorders>
              <w:top w:val="nil"/>
              <w:left w:val="nil"/>
              <w:bottom w:val="single" w:color="auto" w:sz="4" w:space="0"/>
              <w:right w:val="single" w:color="auto" w:sz="4" w:space="0"/>
            </w:tcBorders>
            <w:noWrap w:val="0"/>
            <w:vAlign w:val="center"/>
          </w:tcPr>
          <w:p w14:paraId="3FD236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6" w:type="pct"/>
            <w:tcBorders>
              <w:top w:val="nil"/>
              <w:left w:val="nil"/>
              <w:bottom w:val="single" w:color="auto" w:sz="4" w:space="0"/>
              <w:right w:val="single" w:color="auto" w:sz="4" w:space="0"/>
            </w:tcBorders>
            <w:noWrap w:val="0"/>
            <w:vAlign w:val="center"/>
          </w:tcPr>
          <w:p w14:paraId="52EB8D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p>
        </w:tc>
      </w:tr>
      <w:tr w14:paraId="730EB371">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right w:val="single" w:color="auto" w:sz="4" w:space="0"/>
            </w:tcBorders>
            <w:noWrap w:val="0"/>
            <w:vAlign w:val="center"/>
          </w:tcPr>
          <w:p w14:paraId="72197D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shd w:val="clear" w:color="auto" w:fill="auto"/>
            <w:noWrap w:val="0"/>
            <w:vAlign w:val="center"/>
          </w:tcPr>
          <w:p w14:paraId="6F7744F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769" w:type="pct"/>
            <w:tcBorders>
              <w:top w:val="nil"/>
              <w:left w:val="nil"/>
              <w:bottom w:val="single" w:color="auto" w:sz="4" w:space="0"/>
              <w:right w:val="single" w:color="auto" w:sz="4" w:space="0"/>
            </w:tcBorders>
            <w:shd w:val="clear" w:color="auto" w:fill="auto"/>
            <w:noWrap w:val="0"/>
            <w:vAlign w:val="center"/>
          </w:tcPr>
          <w:p w14:paraId="24BF54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2</w:t>
            </w:r>
            <w:r>
              <w:rPr>
                <w:rFonts w:hint="default" w:ascii="Times New Roman" w:hAnsi="Times New Roman" w:eastAsia="仿宋" w:cs="仿宋"/>
                <w:b w:val="0"/>
                <w:bCs w:val="0"/>
                <w:caps w:val="0"/>
                <w:smallCaps w:val="0"/>
                <w:color w:val="auto"/>
                <w:sz w:val="21"/>
                <w:szCs w:val="21"/>
                <w:highlight w:val="none"/>
                <w:lang w:eastAsia="zh-CN"/>
              </w:rPr>
              <w:t>00</w:t>
            </w:r>
          </w:p>
        </w:tc>
        <w:tc>
          <w:tcPr>
            <w:tcW w:w="799" w:type="pct"/>
            <w:tcBorders>
              <w:top w:val="nil"/>
              <w:left w:val="nil"/>
              <w:bottom w:val="single" w:color="auto" w:sz="4" w:space="0"/>
              <w:right w:val="single" w:color="auto" w:sz="4" w:space="0"/>
            </w:tcBorders>
            <w:shd w:val="clear" w:color="auto" w:fill="auto"/>
            <w:noWrap w:val="0"/>
            <w:vAlign w:val="center"/>
          </w:tcPr>
          <w:p w14:paraId="203E7D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2</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8" w:type="pct"/>
            <w:tcBorders>
              <w:top w:val="nil"/>
              <w:left w:val="nil"/>
              <w:bottom w:val="single" w:color="auto" w:sz="4" w:space="0"/>
              <w:right w:val="single" w:color="auto" w:sz="4" w:space="0"/>
            </w:tcBorders>
            <w:shd w:val="clear" w:color="auto" w:fill="auto"/>
            <w:noWrap w:val="0"/>
            <w:vAlign w:val="center"/>
          </w:tcPr>
          <w:p w14:paraId="1DDF60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0" w:type="pct"/>
            <w:tcBorders>
              <w:top w:val="nil"/>
              <w:left w:val="nil"/>
              <w:bottom w:val="single" w:color="auto" w:sz="4" w:space="0"/>
              <w:right w:val="single" w:color="auto" w:sz="4" w:space="0"/>
            </w:tcBorders>
            <w:shd w:val="clear" w:color="auto" w:fill="auto"/>
            <w:noWrap w:val="0"/>
            <w:vAlign w:val="center"/>
          </w:tcPr>
          <w:p w14:paraId="132F37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10</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6" w:type="pct"/>
            <w:tcBorders>
              <w:top w:val="nil"/>
              <w:left w:val="nil"/>
              <w:bottom w:val="single" w:color="auto" w:sz="4" w:space="0"/>
              <w:right w:val="single" w:color="auto" w:sz="4" w:space="0"/>
            </w:tcBorders>
            <w:shd w:val="clear" w:color="auto" w:fill="auto"/>
            <w:noWrap w:val="0"/>
            <w:vAlign w:val="center"/>
          </w:tcPr>
          <w:p w14:paraId="7150B0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10</w:t>
            </w:r>
            <w:r>
              <w:rPr>
                <w:rFonts w:hint="default" w:ascii="Times New Roman" w:hAnsi="Times New Roman" w:eastAsia="仿宋" w:cs="仿宋"/>
                <w:b w:val="0"/>
                <w:bCs w:val="0"/>
                <w:caps w:val="0"/>
                <w:smallCaps w:val="0"/>
                <w:color w:val="auto"/>
                <w:sz w:val="21"/>
                <w:szCs w:val="21"/>
                <w:highlight w:val="none"/>
                <w:lang w:eastAsia="zh-CN"/>
              </w:rPr>
              <w:t>00</w:t>
            </w:r>
          </w:p>
        </w:tc>
      </w:tr>
      <w:tr w14:paraId="207D4D62">
        <w:tblPrEx>
          <w:tblCellMar>
            <w:top w:w="0" w:type="dxa"/>
            <w:left w:w="108" w:type="dxa"/>
            <w:bottom w:w="0" w:type="dxa"/>
            <w:right w:w="108" w:type="dxa"/>
          </w:tblCellMar>
        </w:tblPrEx>
        <w:trPr>
          <w:trHeight w:val="312" w:hRule="atLeast"/>
          <w:jc w:val="center"/>
        </w:trPr>
        <w:tc>
          <w:tcPr>
            <w:tcW w:w="309" w:type="pct"/>
            <w:vMerge w:val="continue"/>
            <w:tcBorders>
              <w:left w:val="single" w:color="auto" w:sz="4" w:space="0"/>
              <w:bottom w:val="single" w:color="auto" w:sz="4" w:space="0"/>
              <w:right w:val="single" w:color="auto" w:sz="4" w:space="0"/>
            </w:tcBorders>
            <w:noWrap w:val="0"/>
            <w:vAlign w:val="center"/>
          </w:tcPr>
          <w:p w14:paraId="107A09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shd w:val="clear" w:color="auto" w:fill="auto"/>
            <w:noWrap w:val="0"/>
            <w:vAlign w:val="center"/>
          </w:tcPr>
          <w:p w14:paraId="5C3B05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距车站距离（米）</w:t>
            </w:r>
          </w:p>
        </w:tc>
        <w:tc>
          <w:tcPr>
            <w:tcW w:w="769" w:type="pct"/>
            <w:tcBorders>
              <w:top w:val="nil"/>
              <w:left w:val="nil"/>
              <w:bottom w:val="single" w:color="auto" w:sz="4" w:space="0"/>
              <w:right w:val="single" w:color="auto" w:sz="4" w:space="0"/>
            </w:tcBorders>
            <w:shd w:val="clear" w:color="auto" w:fill="auto"/>
            <w:noWrap w:val="0"/>
            <w:vAlign w:val="center"/>
          </w:tcPr>
          <w:p w14:paraId="00DB46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p>
        </w:tc>
        <w:tc>
          <w:tcPr>
            <w:tcW w:w="799" w:type="pct"/>
            <w:tcBorders>
              <w:top w:val="nil"/>
              <w:left w:val="nil"/>
              <w:bottom w:val="single" w:color="auto" w:sz="4" w:space="0"/>
              <w:right w:val="single" w:color="auto" w:sz="4" w:space="0"/>
            </w:tcBorders>
            <w:shd w:val="clear" w:color="auto" w:fill="auto"/>
            <w:noWrap w:val="0"/>
            <w:vAlign w:val="center"/>
          </w:tcPr>
          <w:p w14:paraId="61A74B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7</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8" w:type="pct"/>
            <w:tcBorders>
              <w:top w:val="nil"/>
              <w:left w:val="nil"/>
              <w:bottom w:val="single" w:color="auto" w:sz="4" w:space="0"/>
              <w:right w:val="single" w:color="auto" w:sz="4" w:space="0"/>
            </w:tcBorders>
            <w:shd w:val="clear" w:color="auto" w:fill="auto"/>
            <w:noWrap w:val="0"/>
            <w:vAlign w:val="center"/>
          </w:tcPr>
          <w:p w14:paraId="1A0091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7</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12</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0" w:type="pct"/>
            <w:tcBorders>
              <w:top w:val="nil"/>
              <w:left w:val="nil"/>
              <w:bottom w:val="single" w:color="auto" w:sz="4" w:space="0"/>
              <w:right w:val="single" w:color="auto" w:sz="4" w:space="0"/>
            </w:tcBorders>
            <w:shd w:val="clear" w:color="auto" w:fill="auto"/>
            <w:noWrap w:val="0"/>
            <w:vAlign w:val="center"/>
          </w:tcPr>
          <w:p w14:paraId="36CAAD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12</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6" w:type="pct"/>
            <w:tcBorders>
              <w:top w:val="nil"/>
              <w:left w:val="nil"/>
              <w:bottom w:val="single" w:color="auto" w:sz="4" w:space="0"/>
              <w:right w:val="single" w:color="auto" w:sz="4" w:space="0"/>
            </w:tcBorders>
            <w:shd w:val="clear" w:color="auto" w:fill="auto"/>
            <w:noWrap w:val="0"/>
            <w:vAlign w:val="center"/>
          </w:tcPr>
          <w:p w14:paraId="2A1A0F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18</w:t>
            </w:r>
            <w:r>
              <w:rPr>
                <w:rFonts w:hint="default" w:ascii="Times New Roman" w:hAnsi="Times New Roman" w:eastAsia="仿宋" w:cs="仿宋"/>
                <w:b w:val="0"/>
                <w:bCs w:val="0"/>
                <w:caps w:val="0"/>
                <w:smallCaps w:val="0"/>
                <w:color w:val="auto"/>
                <w:sz w:val="21"/>
                <w:szCs w:val="21"/>
                <w:highlight w:val="none"/>
                <w:lang w:eastAsia="zh-CN"/>
              </w:rPr>
              <w:t>00</w:t>
            </w:r>
          </w:p>
        </w:tc>
      </w:tr>
      <w:tr w14:paraId="1C5011DF">
        <w:tblPrEx>
          <w:tblCellMar>
            <w:top w:w="0" w:type="dxa"/>
            <w:left w:w="108" w:type="dxa"/>
            <w:bottom w:w="0" w:type="dxa"/>
            <w:right w:w="108" w:type="dxa"/>
          </w:tblCellMar>
        </w:tblPrEx>
        <w:trPr>
          <w:trHeight w:val="312" w:hRule="atLeast"/>
          <w:jc w:val="center"/>
        </w:trPr>
        <w:tc>
          <w:tcPr>
            <w:tcW w:w="309" w:type="pct"/>
            <w:vMerge w:val="restart"/>
            <w:tcBorders>
              <w:top w:val="nil"/>
              <w:left w:val="single" w:color="auto" w:sz="4" w:space="0"/>
              <w:bottom w:val="single" w:color="auto" w:sz="4" w:space="0"/>
              <w:right w:val="single" w:color="auto" w:sz="4" w:space="0"/>
            </w:tcBorders>
            <w:noWrap w:val="0"/>
            <w:vAlign w:val="center"/>
          </w:tcPr>
          <w:p w14:paraId="54D02B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65A96D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855" w:type="pct"/>
            <w:tcBorders>
              <w:top w:val="nil"/>
              <w:left w:val="nil"/>
              <w:bottom w:val="single" w:color="auto" w:sz="4" w:space="0"/>
              <w:right w:val="single" w:color="auto" w:sz="4" w:space="0"/>
            </w:tcBorders>
            <w:noWrap w:val="0"/>
            <w:vAlign w:val="center"/>
          </w:tcPr>
          <w:p w14:paraId="40607C9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769" w:type="pct"/>
            <w:tcBorders>
              <w:top w:val="nil"/>
              <w:left w:val="nil"/>
              <w:bottom w:val="single" w:color="auto" w:sz="4" w:space="0"/>
              <w:right w:val="single" w:color="auto" w:sz="4" w:space="0"/>
            </w:tcBorders>
            <w:noWrap w:val="0"/>
            <w:vAlign w:val="center"/>
          </w:tcPr>
          <w:p w14:paraId="2CFAA5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形状有利于土地利用</w:t>
            </w:r>
          </w:p>
        </w:tc>
        <w:tc>
          <w:tcPr>
            <w:tcW w:w="799" w:type="pct"/>
            <w:tcBorders>
              <w:top w:val="nil"/>
              <w:left w:val="nil"/>
              <w:bottom w:val="single" w:color="auto" w:sz="4" w:space="0"/>
              <w:right w:val="single" w:color="auto" w:sz="4" w:space="0"/>
            </w:tcBorders>
            <w:noWrap w:val="0"/>
            <w:vAlign w:val="center"/>
          </w:tcPr>
          <w:p w14:paraId="388748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形状较规则，不影响土地利用</w:t>
            </w:r>
          </w:p>
        </w:tc>
        <w:tc>
          <w:tcPr>
            <w:tcW w:w="768" w:type="pct"/>
            <w:tcBorders>
              <w:top w:val="nil"/>
              <w:left w:val="nil"/>
              <w:bottom w:val="single" w:color="auto" w:sz="4" w:space="0"/>
              <w:right w:val="single" w:color="auto" w:sz="4" w:space="0"/>
            </w:tcBorders>
            <w:noWrap w:val="0"/>
            <w:vAlign w:val="center"/>
          </w:tcPr>
          <w:p w14:paraId="5FDE05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土地形状不规则，但利用正常</w:t>
            </w:r>
          </w:p>
        </w:tc>
        <w:tc>
          <w:tcPr>
            <w:tcW w:w="800" w:type="pct"/>
            <w:tcBorders>
              <w:top w:val="nil"/>
              <w:left w:val="nil"/>
              <w:bottom w:val="single" w:color="auto" w:sz="4" w:space="0"/>
              <w:right w:val="single" w:color="auto" w:sz="4" w:space="0"/>
            </w:tcBorders>
            <w:noWrap w:val="0"/>
            <w:vAlign w:val="center"/>
          </w:tcPr>
          <w:p w14:paraId="6B24B7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形状不规则，对利用有影响</w:t>
            </w:r>
          </w:p>
        </w:tc>
        <w:tc>
          <w:tcPr>
            <w:tcW w:w="696" w:type="pct"/>
            <w:tcBorders>
              <w:top w:val="nil"/>
              <w:left w:val="nil"/>
              <w:bottom w:val="single" w:color="auto" w:sz="4" w:space="0"/>
              <w:right w:val="single" w:color="auto" w:sz="4" w:space="0"/>
            </w:tcBorders>
            <w:noWrap w:val="0"/>
            <w:vAlign w:val="center"/>
          </w:tcPr>
          <w:p w14:paraId="7B7B2DB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形状不规则，对土地利用影响大</w:t>
            </w:r>
          </w:p>
        </w:tc>
      </w:tr>
      <w:tr w14:paraId="3DF344B1">
        <w:tblPrEx>
          <w:tblCellMar>
            <w:top w:w="0" w:type="dxa"/>
            <w:left w:w="108" w:type="dxa"/>
            <w:bottom w:w="0" w:type="dxa"/>
            <w:right w:w="108" w:type="dxa"/>
          </w:tblCellMar>
        </w:tblPrEx>
        <w:trPr>
          <w:trHeight w:val="312" w:hRule="atLeast"/>
          <w:jc w:val="center"/>
        </w:trPr>
        <w:tc>
          <w:tcPr>
            <w:tcW w:w="309" w:type="pct"/>
            <w:vMerge w:val="continue"/>
            <w:tcBorders>
              <w:top w:val="nil"/>
              <w:left w:val="single" w:color="auto" w:sz="4" w:space="0"/>
              <w:bottom w:val="single" w:color="auto" w:sz="4" w:space="0"/>
              <w:right w:val="single" w:color="auto" w:sz="4" w:space="0"/>
            </w:tcBorders>
            <w:noWrap w:val="0"/>
            <w:vAlign w:val="center"/>
          </w:tcPr>
          <w:p w14:paraId="29268A3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61D921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769" w:type="pct"/>
            <w:tcBorders>
              <w:top w:val="nil"/>
              <w:left w:val="nil"/>
              <w:bottom w:val="single" w:color="auto" w:sz="4" w:space="0"/>
              <w:right w:val="single" w:color="auto" w:sz="4" w:space="0"/>
            </w:tcBorders>
            <w:noWrap w:val="0"/>
            <w:vAlign w:val="center"/>
          </w:tcPr>
          <w:p w14:paraId="3D2F43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面积大小特别适于土地利用类型</w:t>
            </w:r>
          </w:p>
        </w:tc>
        <w:tc>
          <w:tcPr>
            <w:tcW w:w="799" w:type="pct"/>
            <w:tcBorders>
              <w:top w:val="nil"/>
              <w:left w:val="nil"/>
              <w:bottom w:val="single" w:color="auto" w:sz="4" w:space="0"/>
              <w:right w:val="single" w:color="auto" w:sz="4" w:space="0"/>
            </w:tcBorders>
            <w:noWrap w:val="0"/>
            <w:vAlign w:val="center"/>
          </w:tcPr>
          <w:p w14:paraId="1E3C6F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面积大小较适于土地利用类型</w:t>
            </w:r>
          </w:p>
        </w:tc>
        <w:tc>
          <w:tcPr>
            <w:tcW w:w="768" w:type="pct"/>
            <w:tcBorders>
              <w:top w:val="nil"/>
              <w:left w:val="nil"/>
              <w:bottom w:val="single" w:color="auto" w:sz="4" w:space="0"/>
              <w:right w:val="single" w:color="auto" w:sz="4" w:space="0"/>
            </w:tcBorders>
            <w:noWrap w:val="0"/>
            <w:vAlign w:val="center"/>
          </w:tcPr>
          <w:p w14:paraId="53F14D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面积大小对土地利用无影响</w:t>
            </w:r>
          </w:p>
        </w:tc>
        <w:tc>
          <w:tcPr>
            <w:tcW w:w="800" w:type="pct"/>
            <w:tcBorders>
              <w:top w:val="nil"/>
              <w:left w:val="nil"/>
              <w:bottom w:val="single" w:color="auto" w:sz="4" w:space="0"/>
              <w:right w:val="single" w:color="auto" w:sz="4" w:space="0"/>
            </w:tcBorders>
            <w:noWrap w:val="0"/>
            <w:vAlign w:val="center"/>
          </w:tcPr>
          <w:p w14:paraId="2E6B39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相对土地利用类型偏大或偏小</w:t>
            </w:r>
          </w:p>
        </w:tc>
        <w:tc>
          <w:tcPr>
            <w:tcW w:w="696" w:type="pct"/>
            <w:tcBorders>
              <w:top w:val="nil"/>
              <w:left w:val="nil"/>
              <w:bottom w:val="single" w:color="auto" w:sz="4" w:space="0"/>
              <w:right w:val="single" w:color="auto" w:sz="4" w:space="0"/>
            </w:tcBorders>
            <w:noWrap w:val="0"/>
            <w:vAlign w:val="center"/>
          </w:tcPr>
          <w:p w14:paraId="219946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面积大小不适合土地利用类型</w:t>
            </w:r>
          </w:p>
        </w:tc>
      </w:tr>
      <w:tr w14:paraId="26C5F096">
        <w:tblPrEx>
          <w:tblCellMar>
            <w:top w:w="0" w:type="dxa"/>
            <w:left w:w="108" w:type="dxa"/>
            <w:bottom w:w="0" w:type="dxa"/>
            <w:right w:w="108" w:type="dxa"/>
          </w:tblCellMar>
        </w:tblPrEx>
        <w:trPr>
          <w:trHeight w:val="312" w:hRule="atLeast"/>
          <w:jc w:val="center"/>
        </w:trPr>
        <w:tc>
          <w:tcPr>
            <w:tcW w:w="309" w:type="pct"/>
            <w:vMerge w:val="continue"/>
            <w:tcBorders>
              <w:top w:val="nil"/>
              <w:left w:val="single" w:color="auto" w:sz="4" w:space="0"/>
              <w:bottom w:val="single" w:color="auto" w:sz="4" w:space="0"/>
              <w:right w:val="single" w:color="auto" w:sz="4" w:space="0"/>
            </w:tcBorders>
            <w:noWrap w:val="0"/>
            <w:vAlign w:val="center"/>
          </w:tcPr>
          <w:p w14:paraId="39F53B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1D017B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宗地临街道路等级与通达性</w:t>
            </w:r>
          </w:p>
        </w:tc>
        <w:tc>
          <w:tcPr>
            <w:tcW w:w="769" w:type="pct"/>
            <w:tcBorders>
              <w:top w:val="nil"/>
              <w:left w:val="nil"/>
              <w:bottom w:val="single" w:color="auto" w:sz="4" w:space="0"/>
              <w:right w:val="single" w:color="auto" w:sz="4" w:space="0"/>
            </w:tcBorders>
            <w:noWrap w:val="0"/>
            <w:vAlign w:val="center"/>
          </w:tcPr>
          <w:p w14:paraId="553D3E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两面临主干道</w:t>
            </w:r>
          </w:p>
        </w:tc>
        <w:tc>
          <w:tcPr>
            <w:tcW w:w="799" w:type="pct"/>
            <w:tcBorders>
              <w:top w:val="nil"/>
              <w:left w:val="nil"/>
              <w:bottom w:val="single" w:color="auto" w:sz="4" w:space="0"/>
              <w:right w:val="single" w:color="auto" w:sz="4" w:space="0"/>
            </w:tcBorders>
            <w:noWrap w:val="0"/>
            <w:vAlign w:val="center"/>
          </w:tcPr>
          <w:p w14:paraId="193851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两面临街、其中一面邻主干道</w:t>
            </w:r>
          </w:p>
        </w:tc>
        <w:tc>
          <w:tcPr>
            <w:tcW w:w="768" w:type="pct"/>
            <w:tcBorders>
              <w:top w:val="nil"/>
              <w:left w:val="nil"/>
              <w:bottom w:val="single" w:color="auto" w:sz="4" w:space="0"/>
              <w:right w:val="single" w:color="auto" w:sz="4" w:space="0"/>
            </w:tcBorders>
            <w:noWrap w:val="0"/>
            <w:vAlign w:val="center"/>
          </w:tcPr>
          <w:p w14:paraId="67DE7FE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一面临主干道或两面临次干道</w:t>
            </w:r>
          </w:p>
        </w:tc>
        <w:tc>
          <w:tcPr>
            <w:tcW w:w="800" w:type="pct"/>
            <w:tcBorders>
              <w:top w:val="nil"/>
              <w:left w:val="nil"/>
              <w:bottom w:val="single" w:color="auto" w:sz="4" w:space="0"/>
              <w:right w:val="single" w:color="auto" w:sz="4" w:space="0"/>
            </w:tcBorders>
            <w:noWrap w:val="0"/>
            <w:vAlign w:val="center"/>
          </w:tcPr>
          <w:p w14:paraId="45EEE5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一面临次干道或支路</w:t>
            </w:r>
          </w:p>
        </w:tc>
        <w:tc>
          <w:tcPr>
            <w:tcW w:w="696" w:type="pct"/>
            <w:tcBorders>
              <w:top w:val="nil"/>
              <w:left w:val="nil"/>
              <w:bottom w:val="single" w:color="auto" w:sz="4" w:space="0"/>
              <w:right w:val="single" w:color="auto" w:sz="4" w:space="0"/>
            </w:tcBorders>
            <w:noWrap w:val="0"/>
            <w:vAlign w:val="center"/>
          </w:tcPr>
          <w:p w14:paraId="4B09376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不临街</w:t>
            </w:r>
          </w:p>
        </w:tc>
      </w:tr>
      <w:tr w14:paraId="5FA30001">
        <w:tblPrEx>
          <w:tblCellMar>
            <w:top w:w="0" w:type="dxa"/>
            <w:left w:w="108" w:type="dxa"/>
            <w:bottom w:w="0" w:type="dxa"/>
            <w:right w:w="108" w:type="dxa"/>
          </w:tblCellMar>
        </w:tblPrEx>
        <w:trPr>
          <w:trHeight w:val="312" w:hRule="atLeast"/>
          <w:jc w:val="center"/>
        </w:trPr>
        <w:tc>
          <w:tcPr>
            <w:tcW w:w="309" w:type="pct"/>
            <w:vMerge w:val="continue"/>
            <w:tcBorders>
              <w:top w:val="nil"/>
              <w:left w:val="single" w:color="auto" w:sz="4" w:space="0"/>
              <w:bottom w:val="single" w:color="auto" w:sz="4" w:space="0"/>
              <w:right w:val="single" w:color="auto" w:sz="4" w:space="0"/>
            </w:tcBorders>
            <w:noWrap w:val="0"/>
            <w:vAlign w:val="center"/>
          </w:tcPr>
          <w:p w14:paraId="38570D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3338B2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临街宽度（米）</w:t>
            </w:r>
          </w:p>
        </w:tc>
        <w:tc>
          <w:tcPr>
            <w:tcW w:w="769" w:type="pct"/>
            <w:tcBorders>
              <w:top w:val="nil"/>
              <w:left w:val="nil"/>
              <w:bottom w:val="single" w:color="auto" w:sz="4" w:space="0"/>
              <w:right w:val="single" w:color="auto" w:sz="4" w:space="0"/>
            </w:tcBorders>
            <w:noWrap w:val="0"/>
            <w:vAlign w:val="center"/>
          </w:tcPr>
          <w:p w14:paraId="6A9CE0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≥15</w:t>
            </w:r>
          </w:p>
        </w:tc>
        <w:tc>
          <w:tcPr>
            <w:tcW w:w="799" w:type="pct"/>
            <w:tcBorders>
              <w:top w:val="nil"/>
              <w:left w:val="nil"/>
              <w:bottom w:val="single" w:color="auto" w:sz="4" w:space="0"/>
              <w:right w:val="single" w:color="auto" w:sz="4" w:space="0"/>
            </w:tcBorders>
            <w:noWrap w:val="0"/>
            <w:vAlign w:val="center"/>
          </w:tcPr>
          <w:p w14:paraId="25938D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[10-15</w:t>
            </w:r>
            <w:r>
              <w:rPr>
                <w:rFonts w:hint="eastAsia" w:ascii="Times New Roman" w:hAnsi="Times New Roman" w:eastAsia="仿宋" w:cs="仿宋"/>
                <w:b w:val="0"/>
                <w:bCs w:val="0"/>
                <w:caps w:val="0"/>
                <w:smallCaps w:val="0"/>
                <w:color w:val="auto"/>
                <w:sz w:val="21"/>
                <w:szCs w:val="21"/>
                <w:highlight w:val="none"/>
                <w:lang w:eastAsia="zh-CN"/>
              </w:rPr>
              <w:t>）</w:t>
            </w:r>
          </w:p>
        </w:tc>
        <w:tc>
          <w:tcPr>
            <w:tcW w:w="768" w:type="pct"/>
            <w:tcBorders>
              <w:top w:val="nil"/>
              <w:left w:val="nil"/>
              <w:bottom w:val="single" w:color="auto" w:sz="4" w:space="0"/>
              <w:right w:val="single" w:color="auto" w:sz="4" w:space="0"/>
            </w:tcBorders>
            <w:noWrap w:val="0"/>
            <w:vAlign w:val="center"/>
          </w:tcPr>
          <w:p w14:paraId="0A3A44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800" w:type="pct"/>
            <w:tcBorders>
              <w:top w:val="nil"/>
              <w:left w:val="nil"/>
              <w:bottom w:val="single" w:color="auto" w:sz="4" w:space="0"/>
              <w:right w:val="single" w:color="auto" w:sz="4" w:space="0"/>
            </w:tcBorders>
            <w:noWrap w:val="0"/>
            <w:vAlign w:val="center"/>
          </w:tcPr>
          <w:p w14:paraId="660DD6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[3-6</w:t>
            </w:r>
            <w:r>
              <w:rPr>
                <w:rFonts w:hint="eastAsia" w:ascii="Times New Roman" w:hAnsi="Times New Roman" w:eastAsia="仿宋" w:cs="仿宋"/>
                <w:b w:val="0"/>
                <w:bCs w:val="0"/>
                <w:caps w:val="0"/>
                <w:smallCaps w:val="0"/>
                <w:color w:val="auto"/>
                <w:sz w:val="21"/>
                <w:szCs w:val="21"/>
                <w:highlight w:val="none"/>
                <w:lang w:eastAsia="zh-CN"/>
              </w:rPr>
              <w:t>）</w:t>
            </w:r>
          </w:p>
        </w:tc>
        <w:tc>
          <w:tcPr>
            <w:tcW w:w="696" w:type="pct"/>
            <w:tcBorders>
              <w:top w:val="nil"/>
              <w:left w:val="nil"/>
              <w:bottom w:val="single" w:color="auto" w:sz="4" w:space="0"/>
              <w:right w:val="single" w:color="auto" w:sz="4" w:space="0"/>
            </w:tcBorders>
            <w:noWrap w:val="0"/>
            <w:vAlign w:val="center"/>
          </w:tcPr>
          <w:p w14:paraId="665869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w:t>
            </w:r>
          </w:p>
        </w:tc>
      </w:tr>
      <w:tr w14:paraId="24755FA5">
        <w:tblPrEx>
          <w:tblCellMar>
            <w:top w:w="0" w:type="dxa"/>
            <w:left w:w="108" w:type="dxa"/>
            <w:bottom w:w="0" w:type="dxa"/>
            <w:right w:w="108" w:type="dxa"/>
          </w:tblCellMar>
        </w:tblPrEx>
        <w:trPr>
          <w:trHeight w:val="312" w:hRule="atLeast"/>
          <w:jc w:val="center"/>
        </w:trPr>
        <w:tc>
          <w:tcPr>
            <w:tcW w:w="309" w:type="pct"/>
            <w:vMerge w:val="continue"/>
            <w:tcBorders>
              <w:top w:val="nil"/>
              <w:left w:val="single" w:color="auto" w:sz="4" w:space="0"/>
              <w:bottom w:val="single" w:color="auto" w:sz="4" w:space="0"/>
              <w:right w:val="single" w:color="auto" w:sz="4" w:space="0"/>
            </w:tcBorders>
            <w:noWrap w:val="0"/>
            <w:vAlign w:val="center"/>
          </w:tcPr>
          <w:p w14:paraId="4F3468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5" w:type="pct"/>
            <w:tcBorders>
              <w:top w:val="nil"/>
              <w:left w:val="nil"/>
              <w:bottom w:val="single" w:color="auto" w:sz="4" w:space="0"/>
              <w:right w:val="single" w:color="auto" w:sz="4" w:space="0"/>
            </w:tcBorders>
            <w:noWrap w:val="0"/>
            <w:vAlign w:val="center"/>
          </w:tcPr>
          <w:p w14:paraId="422274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临街深度（米）</w:t>
            </w:r>
          </w:p>
        </w:tc>
        <w:tc>
          <w:tcPr>
            <w:tcW w:w="769" w:type="pct"/>
            <w:tcBorders>
              <w:top w:val="nil"/>
              <w:left w:val="nil"/>
              <w:bottom w:val="single" w:color="auto" w:sz="4" w:space="0"/>
              <w:right w:val="single" w:color="auto" w:sz="4" w:space="0"/>
            </w:tcBorders>
            <w:noWrap w:val="0"/>
            <w:vAlign w:val="center"/>
          </w:tcPr>
          <w:p w14:paraId="76A3C5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＜6</w:t>
            </w:r>
          </w:p>
        </w:tc>
        <w:tc>
          <w:tcPr>
            <w:tcW w:w="799" w:type="pct"/>
            <w:tcBorders>
              <w:top w:val="nil"/>
              <w:left w:val="nil"/>
              <w:bottom w:val="single" w:color="auto" w:sz="4" w:space="0"/>
              <w:right w:val="single" w:color="auto" w:sz="4" w:space="0"/>
            </w:tcBorders>
            <w:noWrap w:val="0"/>
            <w:vAlign w:val="center"/>
          </w:tcPr>
          <w:p w14:paraId="753952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768" w:type="pct"/>
            <w:tcBorders>
              <w:top w:val="nil"/>
              <w:left w:val="nil"/>
              <w:bottom w:val="single" w:color="auto" w:sz="4" w:space="0"/>
              <w:right w:val="single" w:color="auto" w:sz="4" w:space="0"/>
            </w:tcBorders>
            <w:noWrap w:val="0"/>
            <w:vAlign w:val="center"/>
          </w:tcPr>
          <w:p w14:paraId="3720F77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[10-12</w:t>
            </w:r>
            <w:r>
              <w:rPr>
                <w:rFonts w:hint="eastAsia" w:ascii="Times New Roman" w:hAnsi="Times New Roman" w:eastAsia="仿宋" w:cs="仿宋"/>
                <w:b w:val="0"/>
                <w:bCs w:val="0"/>
                <w:caps w:val="0"/>
                <w:smallCaps w:val="0"/>
                <w:color w:val="auto"/>
                <w:sz w:val="21"/>
                <w:szCs w:val="21"/>
                <w:highlight w:val="none"/>
                <w:lang w:eastAsia="zh-CN"/>
              </w:rPr>
              <w:t>）</w:t>
            </w:r>
          </w:p>
        </w:tc>
        <w:tc>
          <w:tcPr>
            <w:tcW w:w="800" w:type="pct"/>
            <w:tcBorders>
              <w:top w:val="nil"/>
              <w:left w:val="nil"/>
              <w:bottom w:val="single" w:color="auto" w:sz="4" w:space="0"/>
              <w:right w:val="single" w:color="auto" w:sz="4" w:space="0"/>
            </w:tcBorders>
            <w:noWrap w:val="0"/>
            <w:vAlign w:val="center"/>
          </w:tcPr>
          <w:p w14:paraId="1EEEB3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[12-15</w:t>
            </w:r>
            <w:r>
              <w:rPr>
                <w:rFonts w:hint="eastAsia" w:ascii="Times New Roman" w:hAnsi="Times New Roman" w:eastAsia="仿宋" w:cs="仿宋"/>
                <w:b w:val="0"/>
                <w:bCs w:val="0"/>
                <w:caps w:val="0"/>
                <w:smallCaps w:val="0"/>
                <w:color w:val="auto"/>
                <w:sz w:val="21"/>
                <w:szCs w:val="21"/>
                <w:highlight w:val="none"/>
                <w:lang w:eastAsia="zh-CN"/>
              </w:rPr>
              <w:t>）</w:t>
            </w:r>
          </w:p>
        </w:tc>
        <w:tc>
          <w:tcPr>
            <w:tcW w:w="696" w:type="pct"/>
            <w:tcBorders>
              <w:top w:val="nil"/>
              <w:left w:val="nil"/>
              <w:bottom w:val="single" w:color="auto" w:sz="4" w:space="0"/>
              <w:right w:val="single" w:color="auto" w:sz="4" w:space="0"/>
            </w:tcBorders>
            <w:noWrap w:val="0"/>
            <w:vAlign w:val="center"/>
          </w:tcPr>
          <w:p w14:paraId="5DC807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≥15</w:t>
            </w:r>
          </w:p>
        </w:tc>
      </w:tr>
    </w:tbl>
    <w:p w14:paraId="54CE480D">
      <w:pPr>
        <w:rPr>
          <w:rFonts w:hint="eastAsia" w:ascii="Times New Roman" w:hAnsi="Times New Roman" w:eastAsia="仿宋" w:cs="仿宋"/>
          <w:b w:val="0"/>
          <w:bCs/>
          <w:caps w:val="0"/>
          <w:smallCaps w:val="0"/>
          <w:color w:val="auto"/>
          <w:kern w:val="2"/>
          <w:sz w:val="28"/>
          <w:szCs w:val="28"/>
          <w:highlight w:val="none"/>
          <w:lang w:val="en-US" w:eastAsia="zh-CN"/>
        </w:rPr>
      </w:pPr>
      <w:r>
        <w:rPr>
          <w:rFonts w:hint="eastAsia" w:ascii="Times New Roman" w:hAnsi="Times New Roman" w:eastAsia="仿宋" w:cs="仿宋"/>
          <w:b w:val="0"/>
          <w:bCs/>
          <w:caps w:val="0"/>
          <w:smallCaps w:val="0"/>
          <w:color w:val="auto"/>
          <w:kern w:val="2"/>
          <w:sz w:val="28"/>
          <w:szCs w:val="28"/>
          <w:highlight w:val="none"/>
          <w:lang w:val="en-US" w:eastAsia="zh-CN"/>
        </w:rPr>
        <w:br w:type="page"/>
      </w:r>
    </w:p>
    <w:p w14:paraId="17D6EE9B">
      <w:pPr>
        <w:keepNext w:val="0"/>
        <w:keepLines w:val="0"/>
        <w:pageBreakBefore w:val="0"/>
        <w:widowControl/>
        <w:numPr>
          <w:ilvl w:val="0"/>
          <w:numId w:val="0"/>
        </w:numPr>
        <w:kinsoku/>
        <w:wordWrap/>
        <w:overflowPunct/>
        <w:topLinePunct w:val="0"/>
        <w:autoSpaceDE/>
        <w:autoSpaceDN/>
        <w:bidi w:val="0"/>
        <w:adjustRightInd w:val="0"/>
        <w:snapToGrid w:val="0"/>
        <w:spacing w:before="136" w:beforeLines="50" w:line="360" w:lineRule="auto"/>
        <w:textAlignment w:val="auto"/>
        <w:outlineLvl w:val="9"/>
        <w:rPr>
          <w:rFonts w:hint="eastAsia" w:ascii="Times New Roman" w:hAnsi="Times New Roman" w:eastAsia="仿宋" w:cs="仿宋"/>
          <w:b w:val="0"/>
          <w:bCs/>
          <w:caps w:val="0"/>
          <w:smallCaps w:val="0"/>
          <w:color w:val="auto"/>
          <w:kern w:val="2"/>
          <w:sz w:val="28"/>
          <w:szCs w:val="28"/>
          <w:highlight w:val="none"/>
          <w:lang w:val="en-US" w:eastAsia="zh-CN"/>
        </w:rPr>
      </w:pPr>
    </w:p>
    <w:tbl>
      <w:tblPr>
        <w:tblStyle w:val="1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2"/>
        <w:gridCol w:w="1199"/>
        <w:gridCol w:w="1239"/>
        <w:gridCol w:w="1237"/>
        <w:gridCol w:w="1199"/>
        <w:gridCol w:w="1313"/>
        <w:gridCol w:w="1335"/>
      </w:tblGrid>
      <w:tr w14:paraId="2016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jc w:val="center"/>
        </w:trPr>
        <w:tc>
          <w:tcPr>
            <w:tcW w:w="4943" w:type="pct"/>
            <w:gridSpan w:val="7"/>
            <w:tcBorders>
              <w:top w:val="nil"/>
              <w:left w:val="nil"/>
              <w:bottom w:val="nil"/>
              <w:right w:val="nil"/>
            </w:tcBorders>
            <w:shd w:val="clear" w:color="auto" w:fill="auto"/>
            <w:noWrap/>
            <w:vAlign w:val="center"/>
          </w:tcPr>
          <w:p w14:paraId="63E48DF6">
            <w:pPr>
              <w:jc w:val="center"/>
              <w:rPr>
                <w:rFonts w:hint="eastAsia" w:ascii="Times New Roman" w:hAnsi="Times New Roman" w:eastAsia="仿宋" w:cs="仿宋"/>
                <w:i w:val="0"/>
                <w:iCs w:val="0"/>
                <w:caps w:val="0"/>
                <w:smallCaps w:val="0"/>
                <w:color w:val="auto"/>
                <w:sz w:val="21"/>
                <w:szCs w:val="21"/>
                <w:highlight w:val="none"/>
                <w:u w:val="none"/>
              </w:rPr>
            </w:pPr>
            <w:bookmarkStart w:id="32" w:name="_Toc17976"/>
            <w:r>
              <w:rPr>
                <w:rFonts w:hint="eastAsia" w:ascii="Times New Roman" w:hAnsi="Times New Roman" w:eastAsia="仿宋" w:cs="仿宋"/>
                <w:b/>
                <w:caps w:val="0"/>
                <w:smallCaps w:val="0"/>
                <w:color w:val="auto"/>
                <w:sz w:val="24"/>
                <w:szCs w:val="24"/>
                <w:highlight w:val="none"/>
                <w:lang w:val="en-US" w:eastAsia="zh-CN"/>
              </w:rPr>
              <w:t>表2-4  Ⅱ级商业服务业用地地价地价影响因素指标说明表</w:t>
            </w:r>
            <w:bookmarkEnd w:id="32"/>
          </w:p>
        </w:tc>
      </w:tr>
      <w:tr w14:paraId="1579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279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2F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AA0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E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59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73F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55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0C687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EB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802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ACD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9F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0.0094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D1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C9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-0.0153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CC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-0.0306 </w:t>
            </w:r>
          </w:p>
        </w:tc>
      </w:tr>
      <w:tr w14:paraId="46F6F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06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8C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4E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0.0171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B4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0.0086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530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AC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-0.0139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A1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-0.0279 </w:t>
            </w:r>
          </w:p>
        </w:tc>
      </w:tr>
      <w:tr w14:paraId="0A6F1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3D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D3B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2A5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0.0137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68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0.0069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95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AE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-0.0111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3C4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-0.0223 </w:t>
            </w:r>
          </w:p>
        </w:tc>
      </w:tr>
      <w:tr w14:paraId="1C6A4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78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B1F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E2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02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0.0060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E8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14E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DD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-0.0195 </w:t>
            </w:r>
          </w:p>
        </w:tc>
      </w:tr>
      <w:tr w14:paraId="2366E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D5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B7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0.05</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E0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E5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0.0043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FD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9F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-0.0070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586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-0.0139 </w:t>
            </w:r>
          </w:p>
        </w:tc>
      </w:tr>
      <w:tr w14:paraId="1761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6C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1F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54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88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90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F0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7A8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-0.0167 </w:t>
            </w:r>
          </w:p>
        </w:tc>
      </w:tr>
      <w:tr w14:paraId="3CFE6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54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2A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7DE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0.0274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53C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0.0137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8A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B6F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-0.0223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9F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-0.0446 </w:t>
            </w:r>
          </w:p>
        </w:tc>
      </w:tr>
      <w:tr w14:paraId="0B7C8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CB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距车站距离</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A2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6E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A4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11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99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E9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-0.0167 </w:t>
            </w:r>
          </w:p>
        </w:tc>
      </w:tr>
      <w:tr w14:paraId="626C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8D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753D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9E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2E3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1D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9C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4C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-0.0167 </w:t>
            </w:r>
          </w:p>
        </w:tc>
      </w:tr>
      <w:tr w14:paraId="11B98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8C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E1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8B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08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3F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2B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70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-0.0167 </w:t>
            </w:r>
          </w:p>
        </w:tc>
      </w:tr>
      <w:tr w14:paraId="5177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A5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宗地临街道路等级与通达性</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61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5E4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78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0.0060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23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2BC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A8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-0.0195 </w:t>
            </w:r>
          </w:p>
        </w:tc>
      </w:tr>
      <w:tr w14:paraId="6656B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65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临街宽度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C6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23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F5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0A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CD7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0F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-0.0167 </w:t>
            </w:r>
          </w:p>
        </w:tc>
      </w:tr>
    </w:tbl>
    <w:p w14:paraId="1455B4DA">
      <w:pPr>
        <w:keepNext w:val="0"/>
        <w:keepLines w:val="0"/>
        <w:pageBreakBefore w:val="0"/>
        <w:widowControl/>
        <w:numPr>
          <w:ilvl w:val="0"/>
          <w:numId w:val="0"/>
        </w:numPr>
        <w:kinsoku/>
        <w:wordWrap/>
        <w:overflowPunct/>
        <w:topLinePunct w:val="0"/>
        <w:autoSpaceDE/>
        <w:autoSpaceDN/>
        <w:bidi w:val="0"/>
        <w:adjustRightInd w:val="0"/>
        <w:snapToGrid w:val="0"/>
        <w:spacing w:before="136" w:beforeLines="50" w:line="360" w:lineRule="auto"/>
        <w:textAlignment w:val="auto"/>
        <w:outlineLvl w:val="9"/>
        <w:rPr>
          <w:rFonts w:hint="eastAsia" w:ascii="Times New Roman" w:hAnsi="Times New Roman" w:eastAsia="仿宋" w:cs="仿宋"/>
          <w:b w:val="0"/>
          <w:bCs/>
          <w:caps w:val="0"/>
          <w:smallCaps w:val="0"/>
          <w:color w:val="auto"/>
          <w:kern w:val="2"/>
          <w:sz w:val="28"/>
          <w:szCs w:val="28"/>
          <w:highlight w:val="none"/>
          <w:lang w:val="en-US" w:eastAsia="zh-CN"/>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400A2D24">
      <w:pPr>
        <w:keepNext w:val="0"/>
        <w:keepLines w:val="0"/>
        <w:pageBreakBefore w:val="0"/>
        <w:widowControl/>
        <w:kinsoku/>
        <w:wordWrap/>
        <w:overflowPunct/>
        <w:topLinePunct w:val="0"/>
        <w:autoSpaceDE/>
        <w:autoSpaceDN/>
        <w:bidi w:val="0"/>
        <w:adjustRightInd/>
        <w:snapToGrid/>
        <w:spacing w:before="136" w:beforeLines="50"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2-5</w:t>
      </w:r>
      <w:r>
        <w:rPr>
          <w:rFonts w:hint="eastAsia" w:ascii="Times New Roman" w:hAnsi="Times New Roman" w:eastAsia="仿宋" w:cs="仿宋"/>
          <w:b/>
          <w:caps w:val="0"/>
          <w:smallCaps w:val="0"/>
          <w:color w:val="auto"/>
          <w:sz w:val="24"/>
          <w:highlight w:val="none"/>
        </w:rPr>
        <w:t xml:space="preserve">  </w:t>
      </w:r>
      <w:r>
        <w:rPr>
          <w:rFonts w:hint="eastAsia" w:ascii="仿宋" w:hAnsi="仿宋" w:cs="仿宋"/>
          <w:b/>
          <w:sz w:val="24"/>
          <w:lang w:val="en-US" w:eastAsia="zh-CN"/>
        </w:rPr>
        <w:t>Ⅲ</w:t>
      </w:r>
      <w:r>
        <w:rPr>
          <w:rFonts w:hint="eastAsia" w:ascii="Times New Roman" w:hAnsi="Times New Roman" w:eastAsia="仿宋" w:cs="仿宋"/>
          <w:b/>
          <w:caps w:val="0"/>
          <w:smallCaps w:val="0"/>
          <w:color w:val="auto"/>
          <w:sz w:val="24"/>
          <w:highlight w:val="none"/>
        </w:rPr>
        <w:t>级</w:t>
      </w:r>
      <w:r>
        <w:rPr>
          <w:rFonts w:hint="eastAsia" w:ascii="Times New Roman" w:hAnsi="Times New Roman" w:eastAsia="仿宋" w:cs="仿宋"/>
          <w:b/>
          <w:caps w:val="0"/>
          <w:smallCaps w:val="0"/>
          <w:color w:val="auto"/>
          <w:sz w:val="24"/>
          <w:highlight w:val="none"/>
          <w:lang w:eastAsia="zh-CN"/>
        </w:rPr>
        <w:t>商业服务业</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4997" w:type="pct"/>
        <w:jc w:val="center"/>
        <w:tblLayout w:type="autofit"/>
        <w:tblCellMar>
          <w:top w:w="0" w:type="dxa"/>
          <w:left w:w="108" w:type="dxa"/>
          <w:bottom w:w="0" w:type="dxa"/>
          <w:right w:w="108" w:type="dxa"/>
        </w:tblCellMar>
      </w:tblPr>
      <w:tblGrid>
        <w:gridCol w:w="537"/>
        <w:gridCol w:w="1491"/>
        <w:gridCol w:w="1340"/>
        <w:gridCol w:w="1392"/>
        <w:gridCol w:w="1336"/>
        <w:gridCol w:w="1406"/>
        <w:gridCol w:w="1212"/>
      </w:tblGrid>
      <w:tr w14:paraId="5357E9E4">
        <w:tblPrEx>
          <w:tblCellMar>
            <w:top w:w="0" w:type="dxa"/>
            <w:left w:w="108" w:type="dxa"/>
            <w:bottom w:w="0" w:type="dxa"/>
            <w:right w:w="108" w:type="dxa"/>
          </w:tblCellMar>
        </w:tblPrEx>
        <w:trPr>
          <w:trHeight w:val="312" w:hRule="atLeast"/>
          <w:jc w:val="center"/>
        </w:trPr>
        <w:tc>
          <w:tcPr>
            <w:tcW w:w="1163" w:type="pct"/>
            <w:gridSpan w:val="2"/>
            <w:tcBorders>
              <w:top w:val="single" w:color="auto" w:sz="4" w:space="0"/>
              <w:left w:val="single" w:color="auto" w:sz="4" w:space="0"/>
              <w:bottom w:val="single" w:color="auto" w:sz="4" w:space="0"/>
              <w:right w:val="single" w:color="auto" w:sz="4" w:space="0"/>
            </w:tcBorders>
            <w:noWrap w:val="0"/>
            <w:vAlign w:val="center"/>
          </w:tcPr>
          <w:p w14:paraId="0950B3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影响因素</w:t>
            </w:r>
          </w:p>
        </w:tc>
        <w:tc>
          <w:tcPr>
            <w:tcW w:w="768" w:type="pct"/>
            <w:tcBorders>
              <w:top w:val="single" w:color="auto" w:sz="4" w:space="0"/>
              <w:left w:val="nil"/>
              <w:bottom w:val="single" w:color="auto" w:sz="4" w:space="0"/>
              <w:right w:val="single" w:color="auto" w:sz="4" w:space="0"/>
            </w:tcBorders>
            <w:noWrap w:val="0"/>
            <w:vAlign w:val="center"/>
          </w:tcPr>
          <w:p w14:paraId="0D06F3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优</w:t>
            </w:r>
          </w:p>
        </w:tc>
        <w:tc>
          <w:tcPr>
            <w:tcW w:w="798" w:type="pct"/>
            <w:tcBorders>
              <w:top w:val="single" w:color="auto" w:sz="4" w:space="0"/>
              <w:left w:val="nil"/>
              <w:bottom w:val="single" w:color="auto" w:sz="4" w:space="0"/>
              <w:right w:val="single" w:color="auto" w:sz="4" w:space="0"/>
            </w:tcBorders>
            <w:noWrap w:val="0"/>
            <w:vAlign w:val="center"/>
          </w:tcPr>
          <w:p w14:paraId="397A37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较优</w:t>
            </w:r>
          </w:p>
        </w:tc>
        <w:tc>
          <w:tcPr>
            <w:tcW w:w="766" w:type="pct"/>
            <w:tcBorders>
              <w:top w:val="single" w:color="auto" w:sz="4" w:space="0"/>
              <w:left w:val="nil"/>
              <w:bottom w:val="single" w:color="auto" w:sz="4" w:space="0"/>
              <w:right w:val="single" w:color="auto" w:sz="4" w:space="0"/>
            </w:tcBorders>
            <w:noWrap w:val="0"/>
            <w:vAlign w:val="center"/>
          </w:tcPr>
          <w:p w14:paraId="263E04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一般</w:t>
            </w:r>
          </w:p>
        </w:tc>
        <w:tc>
          <w:tcPr>
            <w:tcW w:w="806" w:type="pct"/>
            <w:tcBorders>
              <w:top w:val="single" w:color="auto" w:sz="4" w:space="0"/>
              <w:left w:val="nil"/>
              <w:bottom w:val="single" w:color="auto" w:sz="4" w:space="0"/>
              <w:right w:val="single" w:color="auto" w:sz="4" w:space="0"/>
            </w:tcBorders>
            <w:noWrap w:val="0"/>
            <w:vAlign w:val="center"/>
          </w:tcPr>
          <w:p w14:paraId="5F29F6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较劣</w:t>
            </w:r>
          </w:p>
        </w:tc>
        <w:tc>
          <w:tcPr>
            <w:tcW w:w="695" w:type="pct"/>
            <w:tcBorders>
              <w:top w:val="single" w:color="auto" w:sz="4" w:space="0"/>
              <w:left w:val="nil"/>
              <w:bottom w:val="single" w:color="auto" w:sz="4" w:space="0"/>
              <w:right w:val="single" w:color="auto" w:sz="4" w:space="0"/>
            </w:tcBorders>
            <w:noWrap w:val="0"/>
            <w:vAlign w:val="center"/>
          </w:tcPr>
          <w:p w14:paraId="35E93DC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劣</w:t>
            </w:r>
          </w:p>
        </w:tc>
      </w:tr>
      <w:tr w14:paraId="5652779D">
        <w:tblPrEx>
          <w:tblCellMar>
            <w:top w:w="0" w:type="dxa"/>
            <w:left w:w="108" w:type="dxa"/>
            <w:bottom w:w="0" w:type="dxa"/>
            <w:right w:w="108" w:type="dxa"/>
          </w:tblCellMar>
        </w:tblPrEx>
        <w:trPr>
          <w:trHeight w:val="312" w:hRule="atLeast"/>
          <w:jc w:val="center"/>
        </w:trPr>
        <w:tc>
          <w:tcPr>
            <w:tcW w:w="308" w:type="pct"/>
            <w:vMerge w:val="restart"/>
            <w:tcBorders>
              <w:top w:val="nil"/>
              <w:left w:val="single" w:color="auto" w:sz="4" w:space="0"/>
              <w:right w:val="single" w:color="auto" w:sz="4" w:space="0"/>
            </w:tcBorders>
            <w:noWrap w:val="0"/>
            <w:vAlign w:val="center"/>
          </w:tcPr>
          <w:p w14:paraId="58AD86E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区域因素</w:t>
            </w:r>
          </w:p>
        </w:tc>
        <w:tc>
          <w:tcPr>
            <w:tcW w:w="854" w:type="pct"/>
            <w:tcBorders>
              <w:top w:val="nil"/>
              <w:left w:val="nil"/>
              <w:bottom w:val="single" w:color="auto" w:sz="4" w:space="0"/>
              <w:right w:val="single" w:color="auto" w:sz="4" w:space="0"/>
            </w:tcBorders>
            <w:noWrap w:val="0"/>
            <w:vAlign w:val="center"/>
          </w:tcPr>
          <w:p w14:paraId="6E4131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768" w:type="pct"/>
            <w:tcBorders>
              <w:top w:val="nil"/>
              <w:left w:val="nil"/>
              <w:bottom w:val="single" w:color="auto" w:sz="4" w:space="0"/>
              <w:right w:val="single" w:color="auto" w:sz="4" w:space="0"/>
            </w:tcBorders>
            <w:noWrap w:val="0"/>
            <w:vAlign w:val="center"/>
          </w:tcPr>
          <w:p w14:paraId="3331FC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798" w:type="pct"/>
            <w:tcBorders>
              <w:top w:val="nil"/>
              <w:left w:val="nil"/>
              <w:bottom w:val="single" w:color="auto" w:sz="4" w:space="0"/>
              <w:right w:val="single" w:color="auto" w:sz="4" w:space="0"/>
            </w:tcBorders>
            <w:noWrap w:val="0"/>
            <w:vAlign w:val="center"/>
          </w:tcPr>
          <w:p w14:paraId="7E6B628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66" w:type="pct"/>
            <w:tcBorders>
              <w:top w:val="nil"/>
              <w:left w:val="nil"/>
              <w:bottom w:val="single" w:color="auto" w:sz="4" w:space="0"/>
              <w:right w:val="single" w:color="auto" w:sz="4" w:space="0"/>
            </w:tcBorders>
            <w:noWrap w:val="0"/>
            <w:vAlign w:val="center"/>
          </w:tcPr>
          <w:p w14:paraId="1395392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交通型主干道</w:t>
            </w:r>
          </w:p>
        </w:tc>
        <w:tc>
          <w:tcPr>
            <w:tcW w:w="806" w:type="pct"/>
            <w:tcBorders>
              <w:top w:val="nil"/>
              <w:left w:val="nil"/>
              <w:bottom w:val="single" w:color="auto" w:sz="4" w:space="0"/>
              <w:right w:val="single" w:color="auto" w:sz="4" w:space="0"/>
            </w:tcBorders>
            <w:noWrap w:val="0"/>
            <w:vAlign w:val="center"/>
          </w:tcPr>
          <w:p w14:paraId="636F10A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次干道</w:t>
            </w:r>
          </w:p>
        </w:tc>
        <w:tc>
          <w:tcPr>
            <w:tcW w:w="695" w:type="pct"/>
            <w:tcBorders>
              <w:top w:val="nil"/>
              <w:left w:val="nil"/>
              <w:bottom w:val="single" w:color="auto" w:sz="4" w:space="0"/>
              <w:right w:val="single" w:color="auto" w:sz="4" w:space="0"/>
            </w:tcBorders>
            <w:noWrap w:val="0"/>
            <w:vAlign w:val="center"/>
          </w:tcPr>
          <w:p w14:paraId="67F7BC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支路</w:t>
            </w:r>
          </w:p>
        </w:tc>
      </w:tr>
      <w:tr w14:paraId="4BE16DE0">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49F2F0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7327FE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768" w:type="pct"/>
            <w:tcBorders>
              <w:top w:val="nil"/>
              <w:left w:val="nil"/>
              <w:bottom w:val="single" w:color="auto" w:sz="4" w:space="0"/>
              <w:right w:val="single" w:color="auto" w:sz="4" w:space="0"/>
            </w:tcBorders>
            <w:noWrap w:val="0"/>
            <w:vAlign w:val="center"/>
          </w:tcPr>
          <w:p w14:paraId="673C55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798" w:type="pct"/>
            <w:tcBorders>
              <w:top w:val="nil"/>
              <w:left w:val="nil"/>
              <w:bottom w:val="single" w:color="auto" w:sz="4" w:space="0"/>
              <w:right w:val="single" w:color="auto" w:sz="4" w:space="0"/>
            </w:tcBorders>
            <w:noWrap w:val="0"/>
            <w:vAlign w:val="center"/>
          </w:tcPr>
          <w:p w14:paraId="4E9BC6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66" w:type="pct"/>
            <w:tcBorders>
              <w:top w:val="nil"/>
              <w:left w:val="nil"/>
              <w:bottom w:val="single" w:color="auto" w:sz="4" w:space="0"/>
              <w:right w:val="single" w:color="auto" w:sz="4" w:space="0"/>
            </w:tcBorders>
            <w:noWrap w:val="0"/>
            <w:vAlign w:val="center"/>
          </w:tcPr>
          <w:p w14:paraId="379067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806" w:type="pct"/>
            <w:tcBorders>
              <w:top w:val="nil"/>
              <w:left w:val="nil"/>
              <w:bottom w:val="single" w:color="auto" w:sz="4" w:space="0"/>
              <w:right w:val="single" w:color="auto" w:sz="4" w:space="0"/>
            </w:tcBorders>
            <w:noWrap w:val="0"/>
            <w:vAlign w:val="center"/>
          </w:tcPr>
          <w:p w14:paraId="5789F9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95" w:type="pct"/>
            <w:tcBorders>
              <w:top w:val="nil"/>
              <w:left w:val="nil"/>
              <w:bottom w:val="single" w:color="auto" w:sz="4" w:space="0"/>
              <w:right w:val="single" w:color="auto" w:sz="4" w:space="0"/>
            </w:tcBorders>
            <w:noWrap w:val="0"/>
            <w:vAlign w:val="center"/>
          </w:tcPr>
          <w:p w14:paraId="2455B1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73A17301">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24FE04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0AA36E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1282" w:type="dxa"/>
            <w:tcBorders>
              <w:top w:val="nil"/>
              <w:left w:val="nil"/>
              <w:bottom w:val="single" w:color="auto" w:sz="4" w:space="0"/>
              <w:right w:val="single" w:color="auto" w:sz="4" w:space="0"/>
            </w:tcBorders>
            <w:noWrap w:val="0"/>
            <w:vAlign w:val="center"/>
          </w:tcPr>
          <w:p w14:paraId="68B872E8">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3" w:name="_Toc19609"/>
            <w:r>
              <w:rPr>
                <w:rFonts w:hint="eastAsia" w:ascii="仿宋" w:hAnsi="仿宋" w:eastAsia="仿宋" w:cs="仿宋"/>
                <w:b w:val="0"/>
                <w:bCs w:val="0"/>
                <w:sz w:val="21"/>
                <w:szCs w:val="21"/>
                <w:lang w:eastAsia="zh-CN"/>
              </w:rPr>
              <w:t>集中供水充足、保证率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%以上</w:t>
            </w:r>
            <w:bookmarkEnd w:id="33"/>
          </w:p>
        </w:tc>
        <w:tc>
          <w:tcPr>
            <w:tcW w:w="1336" w:type="dxa"/>
            <w:tcBorders>
              <w:top w:val="nil"/>
              <w:left w:val="nil"/>
              <w:bottom w:val="single" w:color="auto" w:sz="4" w:space="0"/>
              <w:right w:val="single" w:color="auto" w:sz="4" w:space="0"/>
            </w:tcBorders>
            <w:noWrap w:val="0"/>
            <w:vAlign w:val="center"/>
          </w:tcPr>
          <w:p w14:paraId="6628B36B">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4" w:name="_Toc19995"/>
            <w:r>
              <w:rPr>
                <w:rFonts w:hint="eastAsia" w:ascii="仿宋" w:hAnsi="仿宋" w:eastAsia="仿宋" w:cs="仿宋"/>
                <w:b w:val="0"/>
                <w:bCs w:val="0"/>
                <w:sz w:val="21"/>
                <w:szCs w:val="21"/>
                <w:lang w:eastAsia="zh-CN"/>
              </w:rPr>
              <w:t>集中供水较充足、保证率</w:t>
            </w:r>
            <w:r>
              <w:rPr>
                <w:rFonts w:hint="default" w:ascii="Times New Roman" w:hAnsi="Times New Roman" w:eastAsia="仿宋" w:cs="Times New Roman"/>
                <w:b w:val="0"/>
                <w:bCs w:val="0"/>
                <w:sz w:val="21"/>
                <w:szCs w:val="21"/>
                <w:lang w:eastAsia="zh-CN"/>
              </w:rPr>
              <w:t>98</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34"/>
          </w:p>
        </w:tc>
        <w:tc>
          <w:tcPr>
            <w:tcW w:w="1456" w:type="dxa"/>
            <w:tcBorders>
              <w:top w:val="nil"/>
              <w:left w:val="nil"/>
              <w:bottom w:val="single" w:color="auto" w:sz="4" w:space="0"/>
              <w:right w:val="single" w:color="auto" w:sz="4" w:space="0"/>
            </w:tcBorders>
            <w:noWrap w:val="0"/>
            <w:vAlign w:val="center"/>
          </w:tcPr>
          <w:p w14:paraId="4FBA11A9">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5" w:name="_Toc11096"/>
            <w:r>
              <w:rPr>
                <w:rFonts w:hint="eastAsia" w:ascii="仿宋" w:hAnsi="仿宋" w:eastAsia="仿宋" w:cs="仿宋"/>
                <w:b w:val="0"/>
                <w:bCs w:val="0"/>
                <w:sz w:val="21"/>
                <w:szCs w:val="21"/>
                <w:lang w:eastAsia="zh-CN"/>
              </w:rPr>
              <w:t>集中供水基本充足、保证率</w:t>
            </w:r>
            <w:r>
              <w:rPr>
                <w:rFonts w:hint="default" w:ascii="Times New Roman" w:hAnsi="Times New Roman" w:eastAsia="仿宋" w:cs="Times New Roman"/>
                <w:b w:val="0"/>
                <w:bCs w:val="0"/>
                <w:sz w:val="21"/>
                <w:szCs w:val="21"/>
                <w:lang w:eastAsia="zh-CN"/>
              </w:rPr>
              <w:t>90</w:t>
            </w:r>
            <w:r>
              <w:rPr>
                <w:rFonts w:hint="eastAsia" w:ascii="仿宋" w:hAnsi="仿宋" w:eastAsia="仿宋" w:cs="仿宋"/>
                <w:b w:val="0"/>
                <w:bCs w:val="0"/>
                <w:sz w:val="21"/>
                <w:szCs w:val="21"/>
                <w:lang w:eastAsia="zh-CN"/>
              </w:rPr>
              <w:t>%-</w:t>
            </w:r>
            <w:r>
              <w:rPr>
                <w:rFonts w:hint="default" w:ascii="Times New Roman" w:hAnsi="Times New Roman" w:eastAsia="仿宋" w:cs="Times New Roman"/>
                <w:b w:val="0"/>
                <w:bCs w:val="0"/>
                <w:sz w:val="21"/>
                <w:szCs w:val="21"/>
                <w:lang w:eastAsia="zh-CN"/>
              </w:rPr>
              <w:t>95</w:t>
            </w:r>
            <w:r>
              <w:rPr>
                <w:rFonts w:hint="eastAsia" w:ascii="仿宋" w:hAnsi="仿宋" w:eastAsia="仿宋" w:cs="仿宋"/>
                <w:b w:val="0"/>
                <w:bCs w:val="0"/>
                <w:sz w:val="21"/>
                <w:szCs w:val="21"/>
                <w:lang w:eastAsia="zh-CN"/>
              </w:rPr>
              <w:t>%</w:t>
            </w:r>
            <w:bookmarkEnd w:id="35"/>
          </w:p>
        </w:tc>
        <w:tc>
          <w:tcPr>
            <w:tcW w:w="1576" w:type="dxa"/>
            <w:tcBorders>
              <w:top w:val="nil"/>
              <w:left w:val="nil"/>
              <w:bottom w:val="single" w:color="auto" w:sz="4" w:space="0"/>
              <w:right w:val="single" w:color="auto" w:sz="4" w:space="0"/>
            </w:tcBorders>
            <w:noWrap w:val="0"/>
            <w:vAlign w:val="center"/>
          </w:tcPr>
          <w:p w14:paraId="21C66D99">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6" w:name="_Toc20295"/>
            <w:r>
              <w:rPr>
                <w:rFonts w:hint="default" w:ascii="Times New Roman" w:hAnsi="Times New Roman" w:eastAsia="仿宋" w:cs="Times New Roman"/>
                <w:b w:val="0"/>
                <w:bCs w:val="0"/>
                <w:sz w:val="21"/>
                <w:szCs w:val="21"/>
                <w:lang w:eastAsia="zh-CN"/>
              </w:rPr>
              <w:t>集中供水保证率低、保证率</w:t>
            </w:r>
            <w:r>
              <w:rPr>
                <w:rFonts w:hint="default" w:ascii="Times New Roman" w:hAnsi="Times New Roman" w:cs="Times New Roman"/>
                <w:b w:val="0"/>
                <w:bCs w:val="0"/>
                <w:sz w:val="21"/>
                <w:szCs w:val="21"/>
                <w:lang w:val="en-US" w:eastAsia="zh-CN"/>
              </w:rPr>
              <w:t>50</w:t>
            </w:r>
            <w:r>
              <w:rPr>
                <w:rFonts w:hint="default" w:ascii="Times New Roman" w:hAnsi="Times New Roman" w:eastAsia="仿宋" w:cs="Times New Roman"/>
                <w:b w:val="0"/>
                <w:bCs w:val="0"/>
                <w:sz w:val="21"/>
                <w:szCs w:val="21"/>
                <w:lang w:eastAsia="zh-CN"/>
              </w:rPr>
              <w:t>%</w:t>
            </w:r>
            <w:r>
              <w:rPr>
                <w:rFonts w:hint="default" w:ascii="Times New Roman" w:hAnsi="Times New Roman" w:cs="Times New Roman"/>
                <w:b w:val="0"/>
                <w:bCs w:val="0"/>
                <w:sz w:val="21"/>
                <w:szCs w:val="21"/>
                <w:lang w:val="en-US" w:eastAsia="zh-CN"/>
              </w:rPr>
              <w:t>-</w:t>
            </w:r>
            <w:r>
              <w:rPr>
                <w:rFonts w:hint="default" w:ascii="Times New Roman" w:hAnsi="Times New Roman" w:eastAsia="仿宋" w:cs="Times New Roman"/>
                <w:b w:val="0"/>
                <w:bCs w:val="0"/>
                <w:sz w:val="21"/>
                <w:szCs w:val="21"/>
                <w:lang w:eastAsia="zh-CN"/>
              </w:rPr>
              <w:t>90%</w:t>
            </w:r>
            <w:bookmarkEnd w:id="36"/>
          </w:p>
        </w:tc>
        <w:tc>
          <w:tcPr>
            <w:tcW w:w="1153" w:type="dxa"/>
            <w:tcBorders>
              <w:top w:val="nil"/>
              <w:left w:val="nil"/>
              <w:bottom w:val="single" w:color="auto" w:sz="4" w:space="0"/>
              <w:right w:val="single" w:color="auto" w:sz="4" w:space="0"/>
            </w:tcBorders>
            <w:noWrap w:val="0"/>
            <w:vAlign w:val="center"/>
          </w:tcPr>
          <w:p w14:paraId="79CE2D6E">
            <w:pPr>
              <w:spacing w:line="240" w:lineRule="auto"/>
              <w:ind w:right="0" w:rightChars="0" w:firstLine="0" w:firstLineChars="0"/>
              <w:jc w:val="center"/>
              <w:rPr>
                <w:rFonts w:hint="eastAsia" w:ascii="Times New Roman" w:hAnsi="Times New Roman" w:eastAsia="仿宋" w:cs="仿宋"/>
                <w:b w:val="0"/>
                <w:bCs w:val="0"/>
                <w:caps w:val="0"/>
                <w:smallCaps w:val="0"/>
                <w:color w:val="auto"/>
                <w:sz w:val="21"/>
                <w:szCs w:val="21"/>
                <w:highlight w:val="none"/>
              </w:rPr>
            </w:pPr>
            <w:bookmarkStart w:id="37" w:name="_Toc19896"/>
            <w:r>
              <w:rPr>
                <w:rFonts w:hint="eastAsia" w:ascii="仿宋" w:hAnsi="仿宋" w:eastAsia="仿宋" w:cs="仿宋"/>
                <w:b w:val="0"/>
                <w:bCs w:val="0"/>
                <w:sz w:val="21"/>
                <w:szCs w:val="21"/>
                <w:lang w:eastAsia="zh-CN"/>
              </w:rPr>
              <w:t>集中供水保证率低、保证率</w:t>
            </w:r>
            <w:r>
              <w:rPr>
                <w:rFonts w:hint="eastAsia" w:ascii="Times New Roman" w:hAnsi="Times New Roman" w:cs="Times New Roman"/>
                <w:b w:val="0"/>
                <w:bCs w:val="0"/>
                <w:sz w:val="21"/>
                <w:szCs w:val="21"/>
                <w:lang w:val="en-US" w:eastAsia="zh-CN"/>
              </w:rPr>
              <w:t>5</w:t>
            </w:r>
            <w:r>
              <w:rPr>
                <w:rFonts w:hint="default" w:ascii="Times New Roman" w:hAnsi="Times New Roman" w:eastAsia="仿宋" w:cs="Times New Roman"/>
                <w:b w:val="0"/>
                <w:bCs w:val="0"/>
                <w:sz w:val="21"/>
                <w:szCs w:val="21"/>
                <w:lang w:eastAsia="zh-CN"/>
              </w:rPr>
              <w:t>0</w:t>
            </w:r>
            <w:r>
              <w:rPr>
                <w:rFonts w:hint="eastAsia" w:ascii="仿宋" w:hAnsi="仿宋" w:eastAsia="仿宋" w:cs="仿宋"/>
                <w:b w:val="0"/>
                <w:bCs w:val="0"/>
                <w:sz w:val="21"/>
                <w:szCs w:val="21"/>
                <w:lang w:eastAsia="zh-CN"/>
              </w:rPr>
              <w:t>%以下</w:t>
            </w:r>
            <w:bookmarkEnd w:id="37"/>
          </w:p>
        </w:tc>
      </w:tr>
      <w:tr w14:paraId="72EE2DB4">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4F4523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30BF9D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768" w:type="pct"/>
            <w:tcBorders>
              <w:top w:val="nil"/>
              <w:left w:val="nil"/>
              <w:bottom w:val="single" w:color="auto" w:sz="4" w:space="0"/>
              <w:right w:val="single" w:color="auto" w:sz="4" w:space="0"/>
            </w:tcBorders>
            <w:noWrap w:val="0"/>
            <w:vAlign w:val="center"/>
          </w:tcPr>
          <w:p w14:paraId="7951D2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798" w:type="pct"/>
            <w:tcBorders>
              <w:top w:val="nil"/>
              <w:left w:val="nil"/>
              <w:bottom w:val="single" w:color="auto" w:sz="4" w:space="0"/>
              <w:right w:val="single" w:color="auto" w:sz="4" w:space="0"/>
            </w:tcBorders>
            <w:noWrap w:val="0"/>
            <w:vAlign w:val="center"/>
          </w:tcPr>
          <w:p w14:paraId="7CBF0B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66" w:type="pct"/>
            <w:tcBorders>
              <w:top w:val="nil"/>
              <w:left w:val="nil"/>
              <w:bottom w:val="single" w:color="auto" w:sz="4" w:space="0"/>
              <w:right w:val="single" w:color="auto" w:sz="4" w:space="0"/>
            </w:tcBorders>
            <w:noWrap w:val="0"/>
            <w:vAlign w:val="center"/>
          </w:tcPr>
          <w:p w14:paraId="78BA1A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806" w:type="pct"/>
            <w:tcBorders>
              <w:top w:val="nil"/>
              <w:left w:val="nil"/>
              <w:bottom w:val="single" w:color="auto" w:sz="4" w:space="0"/>
              <w:right w:val="single" w:color="auto" w:sz="4" w:space="0"/>
            </w:tcBorders>
            <w:noWrap w:val="0"/>
            <w:vAlign w:val="center"/>
          </w:tcPr>
          <w:p w14:paraId="731A73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95" w:type="pct"/>
            <w:tcBorders>
              <w:top w:val="nil"/>
              <w:left w:val="nil"/>
              <w:bottom w:val="single" w:color="auto" w:sz="4" w:space="0"/>
              <w:right w:val="single" w:color="auto" w:sz="4" w:space="0"/>
            </w:tcBorders>
            <w:noWrap w:val="0"/>
            <w:vAlign w:val="center"/>
          </w:tcPr>
          <w:p w14:paraId="378F26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72D4B8EA">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0F6E01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383658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768" w:type="pct"/>
            <w:tcBorders>
              <w:top w:val="nil"/>
              <w:left w:val="nil"/>
              <w:bottom w:val="single" w:color="auto" w:sz="4" w:space="0"/>
              <w:right w:val="single" w:color="auto" w:sz="4" w:space="0"/>
            </w:tcBorders>
            <w:shd w:val="clear" w:color="auto" w:fill="auto"/>
            <w:noWrap w:val="0"/>
            <w:vAlign w:val="center"/>
          </w:tcPr>
          <w:p w14:paraId="68696DF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798" w:type="pct"/>
            <w:tcBorders>
              <w:top w:val="nil"/>
              <w:left w:val="nil"/>
              <w:bottom w:val="single" w:color="auto" w:sz="4" w:space="0"/>
              <w:right w:val="single" w:color="auto" w:sz="4" w:space="0"/>
            </w:tcBorders>
            <w:shd w:val="clear" w:color="auto" w:fill="auto"/>
            <w:noWrap w:val="0"/>
            <w:vAlign w:val="center"/>
          </w:tcPr>
          <w:p w14:paraId="17102D1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66" w:type="pct"/>
            <w:tcBorders>
              <w:top w:val="nil"/>
              <w:left w:val="nil"/>
              <w:bottom w:val="single" w:color="auto" w:sz="4" w:space="0"/>
              <w:right w:val="single" w:color="auto" w:sz="4" w:space="0"/>
            </w:tcBorders>
            <w:shd w:val="clear" w:color="auto" w:fill="auto"/>
            <w:noWrap w:val="0"/>
            <w:vAlign w:val="center"/>
          </w:tcPr>
          <w:p w14:paraId="1BF8EE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806" w:type="pct"/>
            <w:tcBorders>
              <w:top w:val="nil"/>
              <w:left w:val="nil"/>
              <w:bottom w:val="single" w:color="auto" w:sz="4" w:space="0"/>
              <w:right w:val="single" w:color="auto" w:sz="4" w:space="0"/>
            </w:tcBorders>
            <w:shd w:val="clear" w:color="auto" w:fill="auto"/>
            <w:noWrap w:val="0"/>
            <w:vAlign w:val="center"/>
          </w:tcPr>
          <w:p w14:paraId="2A0074A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95" w:type="pct"/>
            <w:tcBorders>
              <w:top w:val="nil"/>
              <w:left w:val="nil"/>
              <w:bottom w:val="single" w:color="auto" w:sz="4" w:space="0"/>
              <w:right w:val="single" w:color="auto" w:sz="4" w:space="0"/>
            </w:tcBorders>
            <w:shd w:val="clear" w:color="auto" w:fill="auto"/>
            <w:noWrap w:val="0"/>
            <w:vAlign w:val="center"/>
          </w:tcPr>
          <w:p w14:paraId="209294D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53E02BB4">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46A6ED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31A69F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768" w:type="pct"/>
            <w:tcBorders>
              <w:top w:val="nil"/>
              <w:left w:val="nil"/>
              <w:bottom w:val="single" w:color="auto" w:sz="4" w:space="0"/>
              <w:right w:val="single" w:color="auto" w:sz="4" w:space="0"/>
            </w:tcBorders>
            <w:noWrap w:val="0"/>
            <w:vAlign w:val="center"/>
          </w:tcPr>
          <w:p w14:paraId="121A68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p>
        </w:tc>
        <w:tc>
          <w:tcPr>
            <w:tcW w:w="798" w:type="pct"/>
            <w:tcBorders>
              <w:top w:val="nil"/>
              <w:left w:val="nil"/>
              <w:bottom w:val="single" w:color="auto" w:sz="4" w:space="0"/>
              <w:right w:val="single" w:color="auto" w:sz="4" w:space="0"/>
            </w:tcBorders>
            <w:noWrap w:val="0"/>
            <w:vAlign w:val="center"/>
          </w:tcPr>
          <w:p w14:paraId="1A719C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6" w:type="pct"/>
            <w:tcBorders>
              <w:top w:val="nil"/>
              <w:left w:val="nil"/>
              <w:bottom w:val="single" w:color="auto" w:sz="4" w:space="0"/>
              <w:right w:val="single" w:color="auto" w:sz="4" w:space="0"/>
            </w:tcBorders>
            <w:noWrap w:val="0"/>
            <w:vAlign w:val="center"/>
          </w:tcPr>
          <w:p w14:paraId="34FEB1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6" w:type="pct"/>
            <w:tcBorders>
              <w:top w:val="nil"/>
              <w:left w:val="nil"/>
              <w:bottom w:val="single" w:color="auto" w:sz="4" w:space="0"/>
              <w:right w:val="single" w:color="auto" w:sz="4" w:space="0"/>
            </w:tcBorders>
            <w:noWrap w:val="0"/>
            <w:vAlign w:val="center"/>
          </w:tcPr>
          <w:p w14:paraId="33458D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5" w:type="pct"/>
            <w:tcBorders>
              <w:top w:val="nil"/>
              <w:left w:val="nil"/>
              <w:bottom w:val="single" w:color="auto" w:sz="4" w:space="0"/>
              <w:right w:val="single" w:color="auto" w:sz="4" w:space="0"/>
            </w:tcBorders>
            <w:noWrap w:val="0"/>
            <w:vAlign w:val="center"/>
          </w:tcPr>
          <w:p w14:paraId="69DE47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4</w:t>
            </w:r>
            <w:r>
              <w:rPr>
                <w:rFonts w:hint="default" w:ascii="Times New Roman" w:hAnsi="Times New Roman" w:eastAsia="仿宋" w:cs="仿宋"/>
                <w:b w:val="0"/>
                <w:bCs w:val="0"/>
                <w:caps w:val="0"/>
                <w:smallCaps w:val="0"/>
                <w:color w:val="auto"/>
                <w:sz w:val="21"/>
                <w:szCs w:val="21"/>
                <w:highlight w:val="none"/>
                <w:lang w:eastAsia="zh-CN"/>
              </w:rPr>
              <w:t>00</w:t>
            </w:r>
          </w:p>
        </w:tc>
      </w:tr>
      <w:tr w14:paraId="5A7CED7F">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right w:val="single" w:color="auto" w:sz="4" w:space="0"/>
            </w:tcBorders>
            <w:noWrap w:val="0"/>
            <w:vAlign w:val="center"/>
          </w:tcPr>
          <w:p w14:paraId="4BBAAB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shd w:val="clear" w:color="auto" w:fill="auto"/>
            <w:noWrap w:val="0"/>
            <w:vAlign w:val="center"/>
          </w:tcPr>
          <w:p w14:paraId="58882A9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768" w:type="pct"/>
            <w:tcBorders>
              <w:top w:val="nil"/>
              <w:left w:val="nil"/>
              <w:bottom w:val="single" w:color="auto" w:sz="4" w:space="0"/>
              <w:right w:val="single" w:color="auto" w:sz="4" w:space="0"/>
            </w:tcBorders>
            <w:shd w:val="clear" w:color="auto" w:fill="auto"/>
            <w:noWrap w:val="0"/>
            <w:vAlign w:val="center"/>
          </w:tcPr>
          <w:p w14:paraId="39A737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p>
        </w:tc>
        <w:tc>
          <w:tcPr>
            <w:tcW w:w="798" w:type="pct"/>
            <w:tcBorders>
              <w:top w:val="nil"/>
              <w:left w:val="nil"/>
              <w:bottom w:val="single" w:color="auto" w:sz="4" w:space="0"/>
              <w:right w:val="single" w:color="auto" w:sz="4" w:space="0"/>
            </w:tcBorders>
            <w:shd w:val="clear" w:color="auto" w:fill="auto"/>
            <w:noWrap w:val="0"/>
            <w:vAlign w:val="center"/>
          </w:tcPr>
          <w:p w14:paraId="45DB2C7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3</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6" w:type="pct"/>
            <w:tcBorders>
              <w:top w:val="nil"/>
              <w:left w:val="nil"/>
              <w:bottom w:val="single" w:color="auto" w:sz="4" w:space="0"/>
              <w:right w:val="single" w:color="auto" w:sz="4" w:space="0"/>
            </w:tcBorders>
            <w:shd w:val="clear" w:color="auto" w:fill="auto"/>
            <w:noWrap w:val="0"/>
            <w:vAlign w:val="center"/>
          </w:tcPr>
          <w:p w14:paraId="096BD56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6" w:type="pct"/>
            <w:tcBorders>
              <w:top w:val="nil"/>
              <w:left w:val="nil"/>
              <w:bottom w:val="single" w:color="auto" w:sz="4" w:space="0"/>
              <w:right w:val="single" w:color="auto" w:sz="4" w:space="0"/>
            </w:tcBorders>
            <w:shd w:val="clear" w:color="auto" w:fill="auto"/>
            <w:noWrap w:val="0"/>
            <w:vAlign w:val="center"/>
          </w:tcPr>
          <w:p w14:paraId="5948B2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5" w:type="pct"/>
            <w:tcBorders>
              <w:top w:val="nil"/>
              <w:left w:val="nil"/>
              <w:bottom w:val="single" w:color="auto" w:sz="4" w:space="0"/>
              <w:right w:val="single" w:color="auto" w:sz="4" w:space="0"/>
            </w:tcBorders>
            <w:shd w:val="clear" w:color="auto" w:fill="auto"/>
            <w:noWrap w:val="0"/>
            <w:vAlign w:val="center"/>
          </w:tcPr>
          <w:p w14:paraId="4DDC4F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p>
        </w:tc>
      </w:tr>
      <w:tr w14:paraId="4DC2A892">
        <w:tblPrEx>
          <w:tblCellMar>
            <w:top w:w="0" w:type="dxa"/>
            <w:left w:w="108" w:type="dxa"/>
            <w:bottom w:w="0" w:type="dxa"/>
            <w:right w:w="108" w:type="dxa"/>
          </w:tblCellMar>
        </w:tblPrEx>
        <w:trPr>
          <w:trHeight w:val="312" w:hRule="atLeast"/>
          <w:jc w:val="center"/>
        </w:trPr>
        <w:tc>
          <w:tcPr>
            <w:tcW w:w="308" w:type="pct"/>
            <w:vMerge w:val="continue"/>
            <w:tcBorders>
              <w:left w:val="single" w:color="auto" w:sz="4" w:space="0"/>
              <w:bottom w:val="single" w:color="auto" w:sz="4" w:space="0"/>
              <w:right w:val="single" w:color="auto" w:sz="4" w:space="0"/>
            </w:tcBorders>
            <w:noWrap w:val="0"/>
            <w:vAlign w:val="center"/>
          </w:tcPr>
          <w:p w14:paraId="0B0746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shd w:val="clear" w:color="auto" w:fill="auto"/>
            <w:noWrap w:val="0"/>
            <w:vAlign w:val="center"/>
          </w:tcPr>
          <w:p w14:paraId="0E3D8E8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距车站距离（米）</w:t>
            </w:r>
          </w:p>
        </w:tc>
        <w:tc>
          <w:tcPr>
            <w:tcW w:w="768" w:type="pct"/>
            <w:tcBorders>
              <w:top w:val="nil"/>
              <w:left w:val="nil"/>
              <w:bottom w:val="single" w:color="auto" w:sz="4" w:space="0"/>
              <w:right w:val="single" w:color="auto" w:sz="4" w:space="0"/>
            </w:tcBorders>
            <w:shd w:val="clear" w:color="auto" w:fill="auto"/>
            <w:noWrap w:val="0"/>
            <w:vAlign w:val="center"/>
          </w:tcPr>
          <w:p w14:paraId="182BB1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w:t>
            </w:r>
            <w:r>
              <w:rPr>
                <w:rFonts w:hint="eastAsia" w:ascii="Times New Roman" w:hAnsi="Times New Roman" w:eastAsia="仿宋" w:cs="仿宋"/>
                <w:b w:val="0"/>
                <w:bCs w:val="0"/>
                <w:caps w:val="0"/>
                <w:smallCaps w:val="0"/>
                <w:color w:val="auto"/>
                <w:sz w:val="21"/>
                <w:szCs w:val="21"/>
                <w:highlight w:val="none"/>
                <w:lang w:val="en-US" w:eastAsia="zh-CN"/>
              </w:rPr>
              <w:t>0</w:t>
            </w:r>
          </w:p>
        </w:tc>
        <w:tc>
          <w:tcPr>
            <w:tcW w:w="798" w:type="pct"/>
            <w:tcBorders>
              <w:top w:val="nil"/>
              <w:left w:val="nil"/>
              <w:bottom w:val="single" w:color="auto" w:sz="4" w:space="0"/>
              <w:right w:val="single" w:color="auto" w:sz="4" w:space="0"/>
            </w:tcBorders>
            <w:shd w:val="clear" w:color="auto" w:fill="auto"/>
            <w:noWrap w:val="0"/>
            <w:vAlign w:val="center"/>
          </w:tcPr>
          <w:p w14:paraId="4D02C9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766" w:type="pct"/>
            <w:tcBorders>
              <w:top w:val="nil"/>
              <w:left w:val="nil"/>
              <w:bottom w:val="single" w:color="auto" w:sz="4" w:space="0"/>
              <w:right w:val="single" w:color="auto" w:sz="4" w:space="0"/>
            </w:tcBorders>
            <w:shd w:val="clear" w:color="auto" w:fill="auto"/>
            <w:noWrap w:val="0"/>
            <w:vAlign w:val="center"/>
          </w:tcPr>
          <w:p w14:paraId="21D11F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806" w:type="pct"/>
            <w:tcBorders>
              <w:top w:val="nil"/>
              <w:left w:val="nil"/>
              <w:bottom w:val="single" w:color="auto" w:sz="4" w:space="0"/>
              <w:right w:val="single" w:color="auto" w:sz="4" w:space="0"/>
            </w:tcBorders>
            <w:shd w:val="clear" w:color="auto" w:fill="auto"/>
            <w:noWrap w:val="0"/>
            <w:vAlign w:val="center"/>
          </w:tcPr>
          <w:p w14:paraId="7B8EB9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5</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20</w:t>
            </w:r>
            <w:r>
              <w:rPr>
                <w:rFonts w:hint="default" w:ascii="Times New Roman" w:hAnsi="Times New Roman" w:eastAsia="仿宋" w:cs="仿宋"/>
                <w:b w:val="0"/>
                <w:bCs w:val="0"/>
                <w:caps w:val="0"/>
                <w:smallCaps w:val="0"/>
                <w:color w:val="auto"/>
                <w:sz w:val="21"/>
                <w:szCs w:val="21"/>
                <w:highlight w:val="none"/>
                <w:lang w:eastAsia="zh-CN"/>
              </w:rPr>
              <w:t>00</w:t>
            </w:r>
            <w:r>
              <w:rPr>
                <w:rFonts w:hint="eastAsia" w:ascii="Times New Roman" w:hAnsi="Times New Roman" w:eastAsia="仿宋" w:cs="仿宋"/>
                <w:b w:val="0"/>
                <w:bCs w:val="0"/>
                <w:caps w:val="0"/>
                <w:smallCaps w:val="0"/>
                <w:color w:val="auto"/>
                <w:sz w:val="21"/>
                <w:szCs w:val="21"/>
                <w:highlight w:val="none"/>
                <w:lang w:eastAsia="zh-CN"/>
              </w:rPr>
              <w:t>）</w:t>
            </w:r>
          </w:p>
        </w:tc>
        <w:tc>
          <w:tcPr>
            <w:tcW w:w="695" w:type="pct"/>
            <w:tcBorders>
              <w:top w:val="nil"/>
              <w:left w:val="nil"/>
              <w:bottom w:val="single" w:color="auto" w:sz="4" w:space="0"/>
              <w:right w:val="single" w:color="auto" w:sz="4" w:space="0"/>
            </w:tcBorders>
            <w:shd w:val="clear" w:color="auto" w:fill="auto"/>
            <w:noWrap w:val="0"/>
            <w:vAlign w:val="center"/>
          </w:tcPr>
          <w:p w14:paraId="0C3728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22</w:t>
            </w:r>
            <w:r>
              <w:rPr>
                <w:rFonts w:hint="default" w:ascii="Times New Roman" w:hAnsi="Times New Roman" w:eastAsia="仿宋" w:cs="仿宋"/>
                <w:b w:val="0"/>
                <w:bCs w:val="0"/>
                <w:caps w:val="0"/>
                <w:smallCaps w:val="0"/>
                <w:color w:val="auto"/>
                <w:sz w:val="21"/>
                <w:szCs w:val="21"/>
                <w:highlight w:val="none"/>
                <w:lang w:eastAsia="zh-CN"/>
              </w:rPr>
              <w:t>00</w:t>
            </w:r>
          </w:p>
        </w:tc>
      </w:tr>
      <w:tr w14:paraId="6D1AE062">
        <w:tblPrEx>
          <w:tblCellMar>
            <w:top w:w="0" w:type="dxa"/>
            <w:left w:w="108" w:type="dxa"/>
            <w:bottom w:w="0" w:type="dxa"/>
            <w:right w:w="108" w:type="dxa"/>
          </w:tblCellMar>
        </w:tblPrEx>
        <w:trPr>
          <w:trHeight w:val="312" w:hRule="atLeast"/>
          <w:jc w:val="center"/>
        </w:trPr>
        <w:tc>
          <w:tcPr>
            <w:tcW w:w="308" w:type="pct"/>
            <w:vMerge w:val="restart"/>
            <w:tcBorders>
              <w:top w:val="nil"/>
              <w:left w:val="single" w:color="auto" w:sz="4" w:space="0"/>
              <w:bottom w:val="single" w:color="auto" w:sz="4" w:space="0"/>
              <w:right w:val="single" w:color="auto" w:sz="4" w:space="0"/>
            </w:tcBorders>
            <w:noWrap w:val="0"/>
            <w:vAlign w:val="center"/>
          </w:tcPr>
          <w:p w14:paraId="2BEC22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15CD544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854" w:type="pct"/>
            <w:tcBorders>
              <w:top w:val="nil"/>
              <w:left w:val="nil"/>
              <w:bottom w:val="single" w:color="auto" w:sz="4" w:space="0"/>
              <w:right w:val="single" w:color="auto" w:sz="4" w:space="0"/>
            </w:tcBorders>
            <w:noWrap w:val="0"/>
            <w:vAlign w:val="center"/>
          </w:tcPr>
          <w:p w14:paraId="0854D82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768" w:type="pct"/>
            <w:tcBorders>
              <w:top w:val="nil"/>
              <w:left w:val="nil"/>
              <w:bottom w:val="single" w:color="auto" w:sz="4" w:space="0"/>
              <w:right w:val="single" w:color="auto" w:sz="4" w:space="0"/>
            </w:tcBorders>
            <w:noWrap w:val="0"/>
            <w:vAlign w:val="center"/>
          </w:tcPr>
          <w:p w14:paraId="0114E8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形状有利于土地利用</w:t>
            </w:r>
          </w:p>
        </w:tc>
        <w:tc>
          <w:tcPr>
            <w:tcW w:w="798" w:type="pct"/>
            <w:tcBorders>
              <w:top w:val="nil"/>
              <w:left w:val="nil"/>
              <w:bottom w:val="single" w:color="auto" w:sz="4" w:space="0"/>
              <w:right w:val="single" w:color="auto" w:sz="4" w:space="0"/>
            </w:tcBorders>
            <w:noWrap w:val="0"/>
            <w:vAlign w:val="center"/>
          </w:tcPr>
          <w:p w14:paraId="7C83BD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形状较规则，不影响土地利用</w:t>
            </w:r>
          </w:p>
        </w:tc>
        <w:tc>
          <w:tcPr>
            <w:tcW w:w="766" w:type="pct"/>
            <w:tcBorders>
              <w:top w:val="nil"/>
              <w:left w:val="nil"/>
              <w:bottom w:val="single" w:color="auto" w:sz="4" w:space="0"/>
              <w:right w:val="single" w:color="auto" w:sz="4" w:space="0"/>
            </w:tcBorders>
            <w:noWrap w:val="0"/>
            <w:vAlign w:val="center"/>
          </w:tcPr>
          <w:p w14:paraId="175A9F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土地形状不规则，但利用正常</w:t>
            </w:r>
          </w:p>
        </w:tc>
        <w:tc>
          <w:tcPr>
            <w:tcW w:w="806" w:type="pct"/>
            <w:tcBorders>
              <w:top w:val="nil"/>
              <w:left w:val="nil"/>
              <w:bottom w:val="single" w:color="auto" w:sz="4" w:space="0"/>
              <w:right w:val="single" w:color="auto" w:sz="4" w:space="0"/>
            </w:tcBorders>
            <w:noWrap w:val="0"/>
            <w:vAlign w:val="center"/>
          </w:tcPr>
          <w:p w14:paraId="251572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形状不规则，对利用有影响</w:t>
            </w:r>
          </w:p>
        </w:tc>
        <w:tc>
          <w:tcPr>
            <w:tcW w:w="695" w:type="pct"/>
            <w:tcBorders>
              <w:top w:val="nil"/>
              <w:left w:val="nil"/>
              <w:bottom w:val="single" w:color="auto" w:sz="4" w:space="0"/>
              <w:right w:val="single" w:color="auto" w:sz="4" w:space="0"/>
            </w:tcBorders>
            <w:noWrap w:val="0"/>
            <w:vAlign w:val="center"/>
          </w:tcPr>
          <w:p w14:paraId="59300B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形状不规则，对土地利用影响大</w:t>
            </w:r>
          </w:p>
        </w:tc>
      </w:tr>
      <w:tr w14:paraId="4CDC51F4">
        <w:tblPrEx>
          <w:tblCellMar>
            <w:top w:w="0" w:type="dxa"/>
            <w:left w:w="108" w:type="dxa"/>
            <w:bottom w:w="0" w:type="dxa"/>
            <w:right w:w="108" w:type="dxa"/>
          </w:tblCellMar>
        </w:tblPrEx>
        <w:trPr>
          <w:trHeight w:val="312" w:hRule="atLeast"/>
          <w:jc w:val="center"/>
        </w:trPr>
        <w:tc>
          <w:tcPr>
            <w:tcW w:w="308" w:type="pct"/>
            <w:vMerge w:val="continue"/>
            <w:tcBorders>
              <w:top w:val="nil"/>
              <w:left w:val="single" w:color="auto" w:sz="4" w:space="0"/>
              <w:bottom w:val="single" w:color="auto" w:sz="4" w:space="0"/>
              <w:right w:val="single" w:color="auto" w:sz="4" w:space="0"/>
            </w:tcBorders>
            <w:noWrap w:val="0"/>
            <w:vAlign w:val="center"/>
          </w:tcPr>
          <w:p w14:paraId="713D23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6CB82C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768" w:type="pct"/>
            <w:tcBorders>
              <w:top w:val="nil"/>
              <w:left w:val="nil"/>
              <w:bottom w:val="single" w:color="auto" w:sz="4" w:space="0"/>
              <w:right w:val="single" w:color="auto" w:sz="4" w:space="0"/>
            </w:tcBorders>
            <w:noWrap w:val="0"/>
            <w:vAlign w:val="center"/>
          </w:tcPr>
          <w:p w14:paraId="721725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面积大小特别适于土地利用类型</w:t>
            </w:r>
          </w:p>
        </w:tc>
        <w:tc>
          <w:tcPr>
            <w:tcW w:w="798" w:type="pct"/>
            <w:tcBorders>
              <w:top w:val="nil"/>
              <w:left w:val="nil"/>
              <w:bottom w:val="single" w:color="auto" w:sz="4" w:space="0"/>
              <w:right w:val="single" w:color="auto" w:sz="4" w:space="0"/>
            </w:tcBorders>
            <w:noWrap w:val="0"/>
            <w:vAlign w:val="center"/>
          </w:tcPr>
          <w:p w14:paraId="151A70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面积大小较适于土地利用类型</w:t>
            </w:r>
          </w:p>
        </w:tc>
        <w:tc>
          <w:tcPr>
            <w:tcW w:w="766" w:type="pct"/>
            <w:tcBorders>
              <w:top w:val="nil"/>
              <w:left w:val="nil"/>
              <w:bottom w:val="single" w:color="auto" w:sz="4" w:space="0"/>
              <w:right w:val="single" w:color="auto" w:sz="4" w:space="0"/>
            </w:tcBorders>
            <w:noWrap w:val="0"/>
            <w:vAlign w:val="center"/>
          </w:tcPr>
          <w:p w14:paraId="41CE60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面积大小对土地利用无影响</w:t>
            </w:r>
          </w:p>
        </w:tc>
        <w:tc>
          <w:tcPr>
            <w:tcW w:w="806" w:type="pct"/>
            <w:tcBorders>
              <w:top w:val="nil"/>
              <w:left w:val="nil"/>
              <w:bottom w:val="single" w:color="auto" w:sz="4" w:space="0"/>
              <w:right w:val="single" w:color="auto" w:sz="4" w:space="0"/>
            </w:tcBorders>
            <w:noWrap w:val="0"/>
            <w:vAlign w:val="center"/>
          </w:tcPr>
          <w:p w14:paraId="17AD61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相对土地利用类型偏大或偏小</w:t>
            </w:r>
          </w:p>
        </w:tc>
        <w:tc>
          <w:tcPr>
            <w:tcW w:w="695" w:type="pct"/>
            <w:tcBorders>
              <w:top w:val="nil"/>
              <w:left w:val="nil"/>
              <w:bottom w:val="single" w:color="auto" w:sz="4" w:space="0"/>
              <w:right w:val="single" w:color="auto" w:sz="4" w:space="0"/>
            </w:tcBorders>
            <w:noWrap w:val="0"/>
            <w:vAlign w:val="center"/>
          </w:tcPr>
          <w:p w14:paraId="086B27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面积大小不适合土地利用类型</w:t>
            </w:r>
          </w:p>
        </w:tc>
      </w:tr>
      <w:tr w14:paraId="34F2DC7B">
        <w:tblPrEx>
          <w:tblCellMar>
            <w:top w:w="0" w:type="dxa"/>
            <w:left w:w="108" w:type="dxa"/>
            <w:bottom w:w="0" w:type="dxa"/>
            <w:right w:w="108" w:type="dxa"/>
          </w:tblCellMar>
        </w:tblPrEx>
        <w:trPr>
          <w:trHeight w:val="312" w:hRule="atLeast"/>
          <w:jc w:val="center"/>
        </w:trPr>
        <w:tc>
          <w:tcPr>
            <w:tcW w:w="308" w:type="pct"/>
            <w:vMerge w:val="continue"/>
            <w:tcBorders>
              <w:top w:val="nil"/>
              <w:left w:val="single" w:color="auto" w:sz="4" w:space="0"/>
              <w:bottom w:val="single" w:color="auto" w:sz="4" w:space="0"/>
              <w:right w:val="single" w:color="auto" w:sz="4" w:space="0"/>
            </w:tcBorders>
            <w:noWrap w:val="0"/>
            <w:vAlign w:val="center"/>
          </w:tcPr>
          <w:p w14:paraId="5341AD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664DAC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宗地临街道路等级与通达性</w:t>
            </w:r>
          </w:p>
        </w:tc>
        <w:tc>
          <w:tcPr>
            <w:tcW w:w="768" w:type="pct"/>
            <w:tcBorders>
              <w:top w:val="nil"/>
              <w:left w:val="nil"/>
              <w:bottom w:val="single" w:color="auto" w:sz="4" w:space="0"/>
              <w:right w:val="single" w:color="auto" w:sz="4" w:space="0"/>
            </w:tcBorders>
            <w:noWrap w:val="0"/>
            <w:vAlign w:val="center"/>
          </w:tcPr>
          <w:p w14:paraId="7EEE1D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两面临主干道</w:t>
            </w:r>
          </w:p>
        </w:tc>
        <w:tc>
          <w:tcPr>
            <w:tcW w:w="798" w:type="pct"/>
            <w:tcBorders>
              <w:top w:val="nil"/>
              <w:left w:val="nil"/>
              <w:bottom w:val="single" w:color="auto" w:sz="4" w:space="0"/>
              <w:right w:val="single" w:color="auto" w:sz="4" w:space="0"/>
            </w:tcBorders>
            <w:noWrap w:val="0"/>
            <w:vAlign w:val="center"/>
          </w:tcPr>
          <w:p w14:paraId="37A193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两面临街、其中一面邻主干道</w:t>
            </w:r>
          </w:p>
        </w:tc>
        <w:tc>
          <w:tcPr>
            <w:tcW w:w="766" w:type="pct"/>
            <w:tcBorders>
              <w:top w:val="nil"/>
              <w:left w:val="nil"/>
              <w:bottom w:val="single" w:color="auto" w:sz="4" w:space="0"/>
              <w:right w:val="single" w:color="auto" w:sz="4" w:space="0"/>
            </w:tcBorders>
            <w:noWrap w:val="0"/>
            <w:vAlign w:val="center"/>
          </w:tcPr>
          <w:p w14:paraId="590452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一面临主干道或两面临次干道</w:t>
            </w:r>
          </w:p>
        </w:tc>
        <w:tc>
          <w:tcPr>
            <w:tcW w:w="806" w:type="pct"/>
            <w:tcBorders>
              <w:top w:val="nil"/>
              <w:left w:val="nil"/>
              <w:bottom w:val="single" w:color="auto" w:sz="4" w:space="0"/>
              <w:right w:val="single" w:color="auto" w:sz="4" w:space="0"/>
            </w:tcBorders>
            <w:noWrap w:val="0"/>
            <w:vAlign w:val="center"/>
          </w:tcPr>
          <w:p w14:paraId="083E0E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一面临次干道或支路</w:t>
            </w:r>
          </w:p>
        </w:tc>
        <w:tc>
          <w:tcPr>
            <w:tcW w:w="695" w:type="pct"/>
            <w:tcBorders>
              <w:top w:val="nil"/>
              <w:left w:val="nil"/>
              <w:bottom w:val="single" w:color="auto" w:sz="4" w:space="0"/>
              <w:right w:val="single" w:color="auto" w:sz="4" w:space="0"/>
            </w:tcBorders>
            <w:noWrap w:val="0"/>
            <w:vAlign w:val="center"/>
          </w:tcPr>
          <w:p w14:paraId="6B69B9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不临街</w:t>
            </w:r>
          </w:p>
        </w:tc>
      </w:tr>
      <w:tr w14:paraId="1337F170">
        <w:tblPrEx>
          <w:tblCellMar>
            <w:top w:w="0" w:type="dxa"/>
            <w:left w:w="108" w:type="dxa"/>
            <w:bottom w:w="0" w:type="dxa"/>
            <w:right w:w="108" w:type="dxa"/>
          </w:tblCellMar>
        </w:tblPrEx>
        <w:trPr>
          <w:trHeight w:val="312" w:hRule="atLeast"/>
          <w:jc w:val="center"/>
        </w:trPr>
        <w:tc>
          <w:tcPr>
            <w:tcW w:w="308" w:type="pct"/>
            <w:vMerge w:val="continue"/>
            <w:tcBorders>
              <w:top w:val="nil"/>
              <w:left w:val="single" w:color="auto" w:sz="4" w:space="0"/>
              <w:bottom w:val="single" w:color="auto" w:sz="4" w:space="0"/>
              <w:right w:val="single" w:color="auto" w:sz="4" w:space="0"/>
            </w:tcBorders>
            <w:noWrap w:val="0"/>
            <w:vAlign w:val="center"/>
          </w:tcPr>
          <w:p w14:paraId="36EE3D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4D9517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临街宽度（米）</w:t>
            </w:r>
          </w:p>
        </w:tc>
        <w:tc>
          <w:tcPr>
            <w:tcW w:w="768" w:type="pct"/>
            <w:tcBorders>
              <w:top w:val="nil"/>
              <w:left w:val="nil"/>
              <w:bottom w:val="single" w:color="auto" w:sz="4" w:space="0"/>
              <w:right w:val="single" w:color="auto" w:sz="4" w:space="0"/>
            </w:tcBorders>
            <w:noWrap w:val="0"/>
            <w:vAlign w:val="center"/>
          </w:tcPr>
          <w:p w14:paraId="28CD84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≥15</w:t>
            </w:r>
          </w:p>
        </w:tc>
        <w:tc>
          <w:tcPr>
            <w:tcW w:w="798" w:type="pct"/>
            <w:tcBorders>
              <w:top w:val="nil"/>
              <w:left w:val="nil"/>
              <w:bottom w:val="single" w:color="auto" w:sz="4" w:space="0"/>
              <w:right w:val="single" w:color="auto" w:sz="4" w:space="0"/>
            </w:tcBorders>
            <w:noWrap w:val="0"/>
            <w:vAlign w:val="center"/>
          </w:tcPr>
          <w:p w14:paraId="23F4D45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[10-15</w:t>
            </w:r>
            <w:r>
              <w:rPr>
                <w:rFonts w:hint="eastAsia" w:ascii="Times New Roman" w:hAnsi="Times New Roman" w:eastAsia="仿宋" w:cs="仿宋"/>
                <w:b w:val="0"/>
                <w:bCs w:val="0"/>
                <w:caps w:val="0"/>
                <w:smallCaps w:val="0"/>
                <w:color w:val="auto"/>
                <w:sz w:val="21"/>
                <w:szCs w:val="21"/>
                <w:highlight w:val="none"/>
                <w:lang w:eastAsia="zh-CN"/>
              </w:rPr>
              <w:t>）</w:t>
            </w:r>
          </w:p>
        </w:tc>
        <w:tc>
          <w:tcPr>
            <w:tcW w:w="766" w:type="pct"/>
            <w:tcBorders>
              <w:top w:val="nil"/>
              <w:left w:val="nil"/>
              <w:bottom w:val="single" w:color="auto" w:sz="4" w:space="0"/>
              <w:right w:val="single" w:color="auto" w:sz="4" w:space="0"/>
            </w:tcBorders>
            <w:noWrap w:val="0"/>
            <w:vAlign w:val="center"/>
          </w:tcPr>
          <w:p w14:paraId="09A144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806" w:type="pct"/>
            <w:tcBorders>
              <w:top w:val="nil"/>
              <w:left w:val="nil"/>
              <w:bottom w:val="single" w:color="auto" w:sz="4" w:space="0"/>
              <w:right w:val="single" w:color="auto" w:sz="4" w:space="0"/>
            </w:tcBorders>
            <w:noWrap w:val="0"/>
            <w:vAlign w:val="center"/>
          </w:tcPr>
          <w:p w14:paraId="19BC0D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[3-6</w:t>
            </w:r>
            <w:r>
              <w:rPr>
                <w:rFonts w:hint="eastAsia" w:ascii="Times New Roman" w:hAnsi="Times New Roman" w:eastAsia="仿宋" w:cs="仿宋"/>
                <w:b w:val="0"/>
                <w:bCs w:val="0"/>
                <w:caps w:val="0"/>
                <w:smallCaps w:val="0"/>
                <w:color w:val="auto"/>
                <w:sz w:val="21"/>
                <w:szCs w:val="21"/>
                <w:highlight w:val="none"/>
                <w:lang w:eastAsia="zh-CN"/>
              </w:rPr>
              <w:t>）</w:t>
            </w:r>
          </w:p>
        </w:tc>
        <w:tc>
          <w:tcPr>
            <w:tcW w:w="695" w:type="pct"/>
            <w:tcBorders>
              <w:top w:val="nil"/>
              <w:left w:val="nil"/>
              <w:bottom w:val="single" w:color="auto" w:sz="4" w:space="0"/>
              <w:right w:val="single" w:color="auto" w:sz="4" w:space="0"/>
            </w:tcBorders>
            <w:noWrap w:val="0"/>
            <w:vAlign w:val="center"/>
          </w:tcPr>
          <w:p w14:paraId="1AD184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w:t>
            </w:r>
          </w:p>
        </w:tc>
      </w:tr>
      <w:tr w14:paraId="2659083D">
        <w:tblPrEx>
          <w:tblCellMar>
            <w:top w:w="0" w:type="dxa"/>
            <w:left w:w="108" w:type="dxa"/>
            <w:bottom w:w="0" w:type="dxa"/>
            <w:right w:w="108" w:type="dxa"/>
          </w:tblCellMar>
        </w:tblPrEx>
        <w:trPr>
          <w:trHeight w:val="312" w:hRule="atLeast"/>
          <w:jc w:val="center"/>
        </w:trPr>
        <w:tc>
          <w:tcPr>
            <w:tcW w:w="308" w:type="pct"/>
            <w:vMerge w:val="continue"/>
            <w:tcBorders>
              <w:top w:val="nil"/>
              <w:left w:val="single" w:color="auto" w:sz="4" w:space="0"/>
              <w:bottom w:val="single" w:color="auto" w:sz="4" w:space="0"/>
              <w:right w:val="single" w:color="auto" w:sz="4" w:space="0"/>
            </w:tcBorders>
            <w:noWrap w:val="0"/>
            <w:vAlign w:val="center"/>
          </w:tcPr>
          <w:p w14:paraId="6F18F4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54" w:type="pct"/>
            <w:tcBorders>
              <w:top w:val="nil"/>
              <w:left w:val="nil"/>
              <w:bottom w:val="single" w:color="auto" w:sz="4" w:space="0"/>
              <w:right w:val="single" w:color="auto" w:sz="4" w:space="0"/>
            </w:tcBorders>
            <w:noWrap w:val="0"/>
            <w:vAlign w:val="center"/>
          </w:tcPr>
          <w:p w14:paraId="5FF02D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临街深度（米）</w:t>
            </w:r>
          </w:p>
        </w:tc>
        <w:tc>
          <w:tcPr>
            <w:tcW w:w="768" w:type="pct"/>
            <w:tcBorders>
              <w:top w:val="nil"/>
              <w:left w:val="nil"/>
              <w:bottom w:val="single" w:color="auto" w:sz="4" w:space="0"/>
              <w:right w:val="single" w:color="auto" w:sz="4" w:space="0"/>
            </w:tcBorders>
            <w:noWrap w:val="0"/>
            <w:vAlign w:val="center"/>
          </w:tcPr>
          <w:p w14:paraId="0426F71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＜6</w:t>
            </w:r>
          </w:p>
        </w:tc>
        <w:tc>
          <w:tcPr>
            <w:tcW w:w="798" w:type="pct"/>
            <w:tcBorders>
              <w:top w:val="nil"/>
              <w:left w:val="nil"/>
              <w:bottom w:val="single" w:color="auto" w:sz="4" w:space="0"/>
              <w:right w:val="single" w:color="auto" w:sz="4" w:space="0"/>
            </w:tcBorders>
            <w:noWrap w:val="0"/>
            <w:vAlign w:val="center"/>
          </w:tcPr>
          <w:p w14:paraId="6967B9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[6-10</w:t>
            </w:r>
            <w:r>
              <w:rPr>
                <w:rFonts w:hint="eastAsia" w:ascii="Times New Roman" w:hAnsi="Times New Roman" w:eastAsia="仿宋" w:cs="仿宋"/>
                <w:b w:val="0"/>
                <w:bCs w:val="0"/>
                <w:caps w:val="0"/>
                <w:smallCaps w:val="0"/>
                <w:color w:val="auto"/>
                <w:sz w:val="21"/>
                <w:szCs w:val="21"/>
                <w:highlight w:val="none"/>
                <w:lang w:eastAsia="zh-CN"/>
              </w:rPr>
              <w:t>）</w:t>
            </w:r>
          </w:p>
        </w:tc>
        <w:tc>
          <w:tcPr>
            <w:tcW w:w="766" w:type="pct"/>
            <w:tcBorders>
              <w:top w:val="nil"/>
              <w:left w:val="nil"/>
              <w:bottom w:val="single" w:color="auto" w:sz="4" w:space="0"/>
              <w:right w:val="single" w:color="auto" w:sz="4" w:space="0"/>
            </w:tcBorders>
            <w:noWrap w:val="0"/>
            <w:vAlign w:val="center"/>
          </w:tcPr>
          <w:p w14:paraId="21152E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[10-12</w:t>
            </w:r>
            <w:r>
              <w:rPr>
                <w:rFonts w:hint="eastAsia" w:ascii="Times New Roman" w:hAnsi="Times New Roman" w:eastAsia="仿宋" w:cs="仿宋"/>
                <w:b w:val="0"/>
                <w:bCs w:val="0"/>
                <w:caps w:val="0"/>
                <w:smallCaps w:val="0"/>
                <w:color w:val="auto"/>
                <w:sz w:val="21"/>
                <w:szCs w:val="21"/>
                <w:highlight w:val="none"/>
                <w:lang w:eastAsia="zh-CN"/>
              </w:rPr>
              <w:t>）</w:t>
            </w:r>
          </w:p>
        </w:tc>
        <w:tc>
          <w:tcPr>
            <w:tcW w:w="806" w:type="pct"/>
            <w:tcBorders>
              <w:top w:val="nil"/>
              <w:left w:val="nil"/>
              <w:bottom w:val="single" w:color="auto" w:sz="4" w:space="0"/>
              <w:right w:val="single" w:color="auto" w:sz="4" w:space="0"/>
            </w:tcBorders>
            <w:noWrap w:val="0"/>
            <w:vAlign w:val="center"/>
          </w:tcPr>
          <w:p w14:paraId="751EEA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[12-15</w:t>
            </w:r>
            <w:r>
              <w:rPr>
                <w:rFonts w:hint="eastAsia" w:ascii="Times New Roman" w:hAnsi="Times New Roman" w:eastAsia="仿宋" w:cs="仿宋"/>
                <w:b w:val="0"/>
                <w:bCs w:val="0"/>
                <w:caps w:val="0"/>
                <w:smallCaps w:val="0"/>
                <w:color w:val="auto"/>
                <w:sz w:val="21"/>
                <w:szCs w:val="21"/>
                <w:highlight w:val="none"/>
                <w:lang w:eastAsia="zh-CN"/>
              </w:rPr>
              <w:t>）</w:t>
            </w:r>
          </w:p>
        </w:tc>
        <w:tc>
          <w:tcPr>
            <w:tcW w:w="695" w:type="pct"/>
            <w:tcBorders>
              <w:top w:val="nil"/>
              <w:left w:val="nil"/>
              <w:bottom w:val="single" w:color="auto" w:sz="4" w:space="0"/>
              <w:right w:val="single" w:color="auto" w:sz="4" w:space="0"/>
            </w:tcBorders>
            <w:noWrap w:val="0"/>
            <w:vAlign w:val="center"/>
          </w:tcPr>
          <w:p w14:paraId="56362F0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≥15</w:t>
            </w:r>
          </w:p>
        </w:tc>
      </w:tr>
    </w:tbl>
    <w:p w14:paraId="2C7B4D36">
      <w:pPr>
        <w:rPr>
          <w:rFonts w:hint="eastAsia" w:ascii="Times New Roman" w:hAnsi="Times New Roman" w:eastAsia="仿宋" w:cs="仿宋"/>
          <w:b w:val="0"/>
          <w:bCs/>
          <w:caps w:val="0"/>
          <w:smallCaps w:val="0"/>
          <w:color w:val="auto"/>
          <w:kern w:val="2"/>
          <w:sz w:val="28"/>
          <w:szCs w:val="28"/>
          <w:highlight w:val="none"/>
          <w:lang w:val="en-US" w:eastAsia="zh-CN"/>
        </w:rPr>
      </w:pPr>
      <w:r>
        <w:rPr>
          <w:rFonts w:hint="eastAsia" w:ascii="Times New Roman" w:hAnsi="Times New Roman" w:eastAsia="仿宋" w:cs="仿宋"/>
          <w:b w:val="0"/>
          <w:bCs/>
          <w:caps w:val="0"/>
          <w:smallCaps w:val="0"/>
          <w:color w:val="auto"/>
          <w:kern w:val="2"/>
          <w:sz w:val="28"/>
          <w:szCs w:val="28"/>
          <w:highlight w:val="none"/>
          <w:lang w:val="en-US" w:eastAsia="zh-CN"/>
        </w:rPr>
        <w:br w:type="page"/>
      </w:r>
    </w:p>
    <w:tbl>
      <w:tblPr>
        <w:tblStyle w:val="1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2"/>
        <w:gridCol w:w="1199"/>
        <w:gridCol w:w="1239"/>
        <w:gridCol w:w="1237"/>
        <w:gridCol w:w="1199"/>
        <w:gridCol w:w="1313"/>
        <w:gridCol w:w="1335"/>
      </w:tblGrid>
      <w:tr w14:paraId="7F3A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4943" w:type="pct"/>
            <w:gridSpan w:val="7"/>
            <w:tcBorders>
              <w:top w:val="nil"/>
              <w:left w:val="nil"/>
              <w:bottom w:val="nil"/>
              <w:right w:val="nil"/>
            </w:tcBorders>
            <w:shd w:val="clear" w:color="auto" w:fill="auto"/>
            <w:noWrap/>
            <w:vAlign w:val="center"/>
          </w:tcPr>
          <w:p w14:paraId="79A8CF77">
            <w:pPr>
              <w:jc w:val="center"/>
              <w:rPr>
                <w:rFonts w:hint="eastAsia" w:ascii="Times New Roman" w:hAnsi="Times New Roman" w:eastAsia="仿宋" w:cs="仿宋"/>
                <w:i w:val="0"/>
                <w:iCs w:val="0"/>
                <w:caps w:val="0"/>
                <w:smallCaps w:val="0"/>
                <w:color w:val="auto"/>
                <w:sz w:val="21"/>
                <w:szCs w:val="21"/>
                <w:highlight w:val="none"/>
                <w:u w:val="none"/>
              </w:rPr>
            </w:pPr>
            <w:r>
              <w:rPr>
                <w:rFonts w:hint="eastAsia" w:ascii="Times New Roman" w:hAnsi="Times New Roman" w:eastAsia="仿宋" w:cs="仿宋"/>
                <w:b w:val="0"/>
                <w:bCs/>
                <w:caps w:val="0"/>
                <w:smallCaps w:val="0"/>
                <w:color w:val="auto"/>
                <w:kern w:val="2"/>
                <w:sz w:val="24"/>
                <w:szCs w:val="24"/>
                <w:highlight w:val="none"/>
                <w:lang w:val="en-US" w:eastAsia="zh-CN"/>
              </w:rPr>
              <w:br w:type="page"/>
            </w:r>
            <w:bookmarkStart w:id="38" w:name="_Toc31767"/>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2-6</w:t>
            </w:r>
            <w:r>
              <w:rPr>
                <w:rFonts w:hint="eastAsia" w:ascii="Times New Roman" w:hAnsi="Times New Roman" w:eastAsia="仿宋" w:cs="仿宋"/>
                <w:b/>
                <w:caps w:val="0"/>
                <w:smallCaps w:val="0"/>
                <w:color w:val="auto"/>
                <w:sz w:val="24"/>
                <w:szCs w:val="24"/>
                <w:highlight w:val="none"/>
                <w:lang w:val="en-US" w:eastAsia="zh-CN"/>
              </w:rPr>
              <w:t xml:space="preserve">   </w:t>
            </w:r>
            <w:r>
              <w:rPr>
                <w:rFonts w:hint="eastAsia" w:ascii="仿宋" w:hAnsi="仿宋" w:cs="仿宋"/>
                <w:b/>
                <w:sz w:val="24"/>
                <w:szCs w:val="24"/>
                <w:lang w:val="en-US" w:eastAsia="zh-CN"/>
              </w:rPr>
              <w:t>Ⅲ</w:t>
            </w:r>
            <w:r>
              <w:rPr>
                <w:rFonts w:hint="eastAsia" w:ascii="Times New Roman" w:hAnsi="Times New Roman" w:eastAsia="仿宋" w:cs="仿宋"/>
                <w:b/>
                <w:caps w:val="0"/>
                <w:smallCaps w:val="0"/>
                <w:color w:val="auto"/>
                <w:sz w:val="24"/>
                <w:szCs w:val="24"/>
                <w:highlight w:val="none"/>
                <w:lang w:val="en-US" w:eastAsia="zh-CN"/>
              </w:rPr>
              <w:t>级商业服务业用地地价地价影响因素指标说明表</w:t>
            </w:r>
            <w:bookmarkEnd w:id="38"/>
          </w:p>
        </w:tc>
      </w:tr>
      <w:tr w14:paraId="27037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4F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DD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1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22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6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E6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DE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340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237C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DC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DD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72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0.0211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35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0.0106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46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7A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-0.0078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-0.0156 </w:t>
            </w:r>
          </w:p>
        </w:tc>
      </w:tr>
      <w:tr w14:paraId="3A26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A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0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E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0.0192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D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1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2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67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-0.0141 </w:t>
            </w:r>
          </w:p>
        </w:tc>
      </w:tr>
      <w:tr w14:paraId="6E4C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4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6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F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0.0154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7B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0.0077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EE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4E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F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r>
      <w:tr w14:paraId="1049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3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1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5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0.0134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1D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0.0067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7D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52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-0.0049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87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-0.0099 </w:t>
            </w:r>
          </w:p>
        </w:tc>
      </w:tr>
      <w:tr w14:paraId="04532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8A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9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0.05</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0D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2E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3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9F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-0.0035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7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-0.0071 </w:t>
            </w:r>
          </w:p>
        </w:tc>
      </w:tr>
      <w:tr w14:paraId="45B3C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C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7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27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81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3C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6C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22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r w14:paraId="5D9BB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3B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CC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1F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0.0307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D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0.0154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D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8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3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-0.0226 </w:t>
            </w:r>
          </w:p>
        </w:tc>
      </w:tr>
      <w:tr w14:paraId="4D9F1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02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距车站距离</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9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E3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38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9B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B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5D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r w14:paraId="01D4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E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5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C6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7E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C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E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E5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r w14:paraId="47C7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C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D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A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BA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52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00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5B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r w14:paraId="528F0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06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宗地临街道路等级与通达性</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D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D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0.0134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81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0.0067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E60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2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-0.0049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B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-0.0099 </w:t>
            </w:r>
          </w:p>
        </w:tc>
      </w:tr>
      <w:tr w14:paraId="71C91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A6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临街宽度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7C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6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F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0F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51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E2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r w14:paraId="5368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6D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临街深度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2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7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0.0115 </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56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06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0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-0.0042 </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37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-0.0085 </w:t>
            </w:r>
          </w:p>
        </w:tc>
      </w:tr>
    </w:tbl>
    <w:p w14:paraId="245B1793">
      <w:pPr>
        <w:keepNext w:val="0"/>
        <w:keepLines w:val="0"/>
        <w:pageBreakBefore w:val="0"/>
        <w:widowControl/>
        <w:numPr>
          <w:ilvl w:val="0"/>
          <w:numId w:val="0"/>
        </w:numPr>
        <w:kinsoku/>
        <w:wordWrap/>
        <w:overflowPunct/>
        <w:topLinePunct w:val="0"/>
        <w:autoSpaceDE/>
        <w:autoSpaceDN/>
        <w:bidi w:val="0"/>
        <w:adjustRightInd w:val="0"/>
        <w:snapToGrid w:val="0"/>
        <w:spacing w:before="136" w:beforeLines="50" w:line="360" w:lineRule="auto"/>
        <w:textAlignment w:val="auto"/>
        <w:outlineLvl w:val="9"/>
        <w:rPr>
          <w:rFonts w:hint="eastAsia" w:ascii="Times New Roman" w:hAnsi="Times New Roman" w:eastAsia="仿宋" w:cs="仿宋"/>
          <w:b w:val="0"/>
          <w:bCs/>
          <w:caps w:val="0"/>
          <w:smallCaps w:val="0"/>
          <w:color w:val="auto"/>
          <w:kern w:val="2"/>
          <w:sz w:val="28"/>
          <w:szCs w:val="28"/>
          <w:highlight w:val="none"/>
          <w:lang w:val="en-US" w:eastAsia="zh-CN"/>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63EB83CA">
      <w:pPr>
        <w:keepNext w:val="0"/>
        <w:keepLines w:val="0"/>
        <w:pageBreakBefore w:val="0"/>
        <w:widowControl/>
        <w:numPr>
          <w:ilvl w:val="0"/>
          <w:numId w:val="0"/>
        </w:numPr>
        <w:kinsoku/>
        <w:wordWrap/>
        <w:overflowPunct/>
        <w:topLinePunct w:val="0"/>
        <w:autoSpaceDE/>
        <w:autoSpaceDN/>
        <w:bidi w:val="0"/>
        <w:adjustRightInd w:val="0"/>
        <w:snapToGrid w:val="0"/>
        <w:spacing w:before="136" w:beforeLines="50" w:line="360" w:lineRule="auto"/>
        <w:textAlignment w:val="auto"/>
        <w:outlineLvl w:val="9"/>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val="0"/>
          <w:bCs/>
          <w:caps w:val="0"/>
          <w:smallCaps w:val="0"/>
          <w:color w:val="auto"/>
          <w:kern w:val="2"/>
          <w:sz w:val="28"/>
          <w:szCs w:val="28"/>
          <w:highlight w:val="none"/>
          <w:lang w:val="en-US" w:eastAsia="zh-CN"/>
        </w:rPr>
        <w:t>（2）</w:t>
      </w:r>
      <w:r>
        <w:rPr>
          <w:rFonts w:hint="eastAsia" w:ascii="Times New Roman" w:hAnsi="Times New Roman" w:eastAsia="仿宋" w:cs="仿宋"/>
          <w:b w:val="0"/>
          <w:bCs/>
          <w:caps w:val="0"/>
          <w:smallCaps w:val="0"/>
          <w:color w:val="auto"/>
          <w:kern w:val="2"/>
          <w:sz w:val="28"/>
          <w:szCs w:val="28"/>
          <w:highlight w:val="none"/>
          <w:lang w:eastAsia="zh-CN"/>
        </w:rPr>
        <w:t>居住</w:t>
      </w:r>
      <w:r>
        <w:rPr>
          <w:rFonts w:hint="eastAsia" w:ascii="Times New Roman" w:hAnsi="Times New Roman" w:eastAsia="仿宋" w:cs="仿宋"/>
          <w:b w:val="0"/>
          <w:bCs/>
          <w:caps w:val="0"/>
          <w:smallCaps w:val="0"/>
          <w:color w:val="auto"/>
          <w:kern w:val="2"/>
          <w:sz w:val="28"/>
          <w:szCs w:val="28"/>
          <w:highlight w:val="none"/>
        </w:rPr>
        <w:t>用地地价影响因素指标说明表及修正系数表</w:t>
      </w:r>
    </w:p>
    <w:p w14:paraId="29D8C54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2-7</w:t>
      </w:r>
      <w:r>
        <w:rPr>
          <w:rFonts w:hint="eastAsia" w:ascii="Times New Roman" w:hAnsi="Times New Roman" w:eastAsia="仿宋" w:cs="仿宋"/>
          <w:b/>
          <w:caps w:val="0"/>
          <w:smallCaps w:val="0"/>
          <w:color w:val="auto"/>
          <w:sz w:val="24"/>
          <w:highlight w:val="none"/>
        </w:rPr>
        <w:t xml:space="preserve">  Ⅰ级</w:t>
      </w:r>
      <w:r>
        <w:rPr>
          <w:rFonts w:hint="eastAsia" w:ascii="Times New Roman" w:hAnsi="Times New Roman" w:eastAsia="仿宋" w:cs="仿宋"/>
          <w:b/>
          <w:caps w:val="0"/>
          <w:smallCaps w:val="0"/>
          <w:color w:val="auto"/>
          <w:sz w:val="24"/>
          <w:highlight w:val="none"/>
          <w:lang w:eastAsia="zh-CN"/>
        </w:rPr>
        <w:t>居住</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5000" w:type="pct"/>
        <w:tblInd w:w="0" w:type="dxa"/>
        <w:tblLayout w:type="autofit"/>
        <w:tblCellMar>
          <w:top w:w="0" w:type="dxa"/>
          <w:left w:w="108" w:type="dxa"/>
          <w:bottom w:w="0" w:type="dxa"/>
          <w:right w:w="108" w:type="dxa"/>
        </w:tblCellMar>
      </w:tblPr>
      <w:tblGrid>
        <w:gridCol w:w="620"/>
        <w:gridCol w:w="1760"/>
        <w:gridCol w:w="1155"/>
        <w:gridCol w:w="1336"/>
        <w:gridCol w:w="1336"/>
        <w:gridCol w:w="1358"/>
        <w:gridCol w:w="1154"/>
      </w:tblGrid>
      <w:tr w14:paraId="6F628FBB">
        <w:tblPrEx>
          <w:tblCellMar>
            <w:top w:w="0" w:type="dxa"/>
            <w:left w:w="108" w:type="dxa"/>
            <w:bottom w:w="0" w:type="dxa"/>
            <w:right w:w="108" w:type="dxa"/>
          </w:tblCellMar>
        </w:tblPrEx>
        <w:trPr>
          <w:trHeight w:val="255" w:hRule="atLeast"/>
        </w:trPr>
        <w:tc>
          <w:tcPr>
            <w:tcW w:w="2382" w:type="dxa"/>
            <w:gridSpan w:val="2"/>
            <w:tcBorders>
              <w:top w:val="single" w:color="auto" w:sz="4" w:space="0"/>
              <w:left w:val="single" w:color="auto" w:sz="4" w:space="0"/>
              <w:bottom w:val="single" w:color="auto" w:sz="4" w:space="0"/>
              <w:right w:val="single" w:color="auto" w:sz="4" w:space="0"/>
            </w:tcBorders>
            <w:noWrap w:val="0"/>
            <w:vAlign w:val="center"/>
          </w:tcPr>
          <w:p w14:paraId="4C7E345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156" w:type="dxa"/>
            <w:tcBorders>
              <w:top w:val="single" w:color="auto" w:sz="4" w:space="0"/>
              <w:left w:val="nil"/>
              <w:bottom w:val="single" w:color="auto" w:sz="4" w:space="0"/>
              <w:right w:val="single" w:color="auto" w:sz="4" w:space="0"/>
            </w:tcBorders>
            <w:noWrap w:val="0"/>
            <w:vAlign w:val="center"/>
          </w:tcPr>
          <w:p w14:paraId="729B18D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336" w:type="dxa"/>
            <w:tcBorders>
              <w:top w:val="single" w:color="auto" w:sz="4" w:space="0"/>
              <w:left w:val="nil"/>
              <w:bottom w:val="single" w:color="auto" w:sz="4" w:space="0"/>
              <w:right w:val="single" w:color="auto" w:sz="4" w:space="0"/>
            </w:tcBorders>
            <w:noWrap w:val="0"/>
            <w:vAlign w:val="center"/>
          </w:tcPr>
          <w:p w14:paraId="24B3E99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336" w:type="dxa"/>
            <w:tcBorders>
              <w:top w:val="single" w:color="auto" w:sz="4" w:space="0"/>
              <w:left w:val="nil"/>
              <w:bottom w:val="single" w:color="auto" w:sz="4" w:space="0"/>
              <w:right w:val="single" w:color="auto" w:sz="4" w:space="0"/>
            </w:tcBorders>
            <w:noWrap w:val="0"/>
            <w:vAlign w:val="center"/>
          </w:tcPr>
          <w:p w14:paraId="6295AE4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358" w:type="dxa"/>
            <w:tcBorders>
              <w:top w:val="single" w:color="auto" w:sz="4" w:space="0"/>
              <w:left w:val="nil"/>
              <w:bottom w:val="single" w:color="auto" w:sz="4" w:space="0"/>
              <w:right w:val="single" w:color="auto" w:sz="4" w:space="0"/>
            </w:tcBorders>
            <w:noWrap w:val="0"/>
            <w:vAlign w:val="center"/>
          </w:tcPr>
          <w:p w14:paraId="54DF2D3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153" w:type="dxa"/>
            <w:tcBorders>
              <w:top w:val="single" w:color="auto" w:sz="4" w:space="0"/>
              <w:left w:val="nil"/>
              <w:bottom w:val="single" w:color="auto" w:sz="4" w:space="0"/>
              <w:right w:val="single" w:color="auto" w:sz="4" w:space="0"/>
            </w:tcBorders>
            <w:noWrap w:val="0"/>
            <w:vAlign w:val="center"/>
          </w:tcPr>
          <w:p w14:paraId="3710EBD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0E220BC5">
        <w:tblPrEx>
          <w:tblCellMar>
            <w:top w:w="0" w:type="dxa"/>
            <w:left w:w="108" w:type="dxa"/>
            <w:bottom w:w="0" w:type="dxa"/>
            <w:right w:w="108" w:type="dxa"/>
          </w:tblCellMar>
        </w:tblPrEx>
        <w:trPr>
          <w:trHeight w:val="255" w:hRule="atLeast"/>
        </w:trPr>
        <w:tc>
          <w:tcPr>
            <w:tcW w:w="356" w:type="pct"/>
            <w:vMerge w:val="restart"/>
            <w:tcBorders>
              <w:top w:val="nil"/>
              <w:left w:val="single" w:color="auto" w:sz="4" w:space="0"/>
              <w:right w:val="single" w:color="auto" w:sz="4" w:space="0"/>
            </w:tcBorders>
            <w:noWrap w:val="0"/>
            <w:vAlign w:val="center"/>
          </w:tcPr>
          <w:p w14:paraId="3A3A18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76AFAC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1009" w:type="pct"/>
            <w:tcBorders>
              <w:top w:val="nil"/>
              <w:left w:val="nil"/>
              <w:bottom w:val="single" w:color="auto" w:sz="4" w:space="0"/>
              <w:right w:val="single" w:color="auto" w:sz="4" w:space="0"/>
            </w:tcBorders>
            <w:noWrap w:val="0"/>
            <w:vAlign w:val="center"/>
          </w:tcPr>
          <w:p w14:paraId="497A15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662" w:type="pct"/>
            <w:tcBorders>
              <w:top w:val="nil"/>
              <w:left w:val="nil"/>
              <w:bottom w:val="single" w:color="auto" w:sz="4" w:space="0"/>
              <w:right w:val="single" w:color="auto" w:sz="4" w:space="0"/>
            </w:tcBorders>
            <w:noWrap w:val="0"/>
            <w:vAlign w:val="center"/>
          </w:tcPr>
          <w:p w14:paraId="2F936B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≤100</w:t>
            </w:r>
          </w:p>
        </w:tc>
        <w:tc>
          <w:tcPr>
            <w:tcW w:w="765" w:type="pct"/>
            <w:tcBorders>
              <w:top w:val="nil"/>
              <w:left w:val="nil"/>
              <w:bottom w:val="single" w:color="auto" w:sz="4" w:space="0"/>
              <w:right w:val="single" w:color="auto" w:sz="4" w:space="0"/>
            </w:tcBorders>
            <w:noWrap w:val="0"/>
            <w:vAlign w:val="center"/>
          </w:tcPr>
          <w:p w14:paraId="4FE48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100—300]</w:t>
            </w:r>
          </w:p>
        </w:tc>
        <w:tc>
          <w:tcPr>
            <w:tcW w:w="765" w:type="pct"/>
            <w:tcBorders>
              <w:top w:val="nil"/>
              <w:left w:val="nil"/>
              <w:bottom w:val="single" w:color="auto" w:sz="4" w:space="0"/>
              <w:right w:val="single" w:color="auto" w:sz="4" w:space="0"/>
            </w:tcBorders>
            <w:noWrap w:val="0"/>
            <w:vAlign w:val="center"/>
          </w:tcPr>
          <w:p w14:paraId="21829B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78" w:type="pct"/>
            <w:tcBorders>
              <w:top w:val="nil"/>
              <w:left w:val="nil"/>
              <w:bottom w:val="single" w:color="auto" w:sz="4" w:space="0"/>
              <w:right w:val="single" w:color="auto" w:sz="4" w:space="0"/>
            </w:tcBorders>
            <w:noWrap w:val="0"/>
            <w:vAlign w:val="center"/>
          </w:tcPr>
          <w:p w14:paraId="21410B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661" w:type="pct"/>
            <w:tcBorders>
              <w:top w:val="nil"/>
              <w:left w:val="nil"/>
              <w:bottom w:val="single" w:color="auto" w:sz="4" w:space="0"/>
              <w:right w:val="single" w:color="auto" w:sz="4" w:space="0"/>
            </w:tcBorders>
            <w:noWrap w:val="0"/>
            <w:vAlign w:val="center"/>
          </w:tcPr>
          <w:p w14:paraId="0401B7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&gt;700</w:t>
            </w:r>
          </w:p>
        </w:tc>
      </w:tr>
      <w:tr w14:paraId="079A2D00">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455B08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290EB3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662" w:type="pct"/>
            <w:tcBorders>
              <w:top w:val="nil"/>
              <w:left w:val="nil"/>
              <w:bottom w:val="single" w:color="auto" w:sz="4" w:space="0"/>
              <w:right w:val="single" w:color="auto" w:sz="4" w:space="0"/>
            </w:tcBorders>
            <w:noWrap w:val="0"/>
            <w:vAlign w:val="center"/>
          </w:tcPr>
          <w:p w14:paraId="1143D9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765" w:type="pct"/>
            <w:tcBorders>
              <w:top w:val="nil"/>
              <w:left w:val="nil"/>
              <w:bottom w:val="single" w:color="auto" w:sz="4" w:space="0"/>
              <w:right w:val="single" w:color="auto" w:sz="4" w:space="0"/>
            </w:tcBorders>
            <w:noWrap w:val="0"/>
            <w:vAlign w:val="center"/>
          </w:tcPr>
          <w:p w14:paraId="6EBD85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65" w:type="pct"/>
            <w:tcBorders>
              <w:top w:val="nil"/>
              <w:left w:val="nil"/>
              <w:bottom w:val="single" w:color="auto" w:sz="4" w:space="0"/>
              <w:right w:val="single" w:color="auto" w:sz="4" w:space="0"/>
            </w:tcBorders>
            <w:noWrap w:val="0"/>
            <w:vAlign w:val="center"/>
          </w:tcPr>
          <w:p w14:paraId="1AFA4F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生活型次干道或交通型主干道</w:t>
            </w:r>
          </w:p>
        </w:tc>
        <w:tc>
          <w:tcPr>
            <w:tcW w:w="778" w:type="pct"/>
            <w:tcBorders>
              <w:top w:val="nil"/>
              <w:left w:val="nil"/>
              <w:bottom w:val="single" w:color="auto" w:sz="4" w:space="0"/>
              <w:right w:val="single" w:color="auto" w:sz="4" w:space="0"/>
            </w:tcBorders>
            <w:noWrap w:val="0"/>
            <w:vAlign w:val="center"/>
          </w:tcPr>
          <w:p w14:paraId="481EEF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61" w:type="pct"/>
            <w:tcBorders>
              <w:top w:val="nil"/>
              <w:left w:val="nil"/>
              <w:bottom w:val="single" w:color="auto" w:sz="4" w:space="0"/>
              <w:right w:val="single" w:color="auto" w:sz="4" w:space="0"/>
            </w:tcBorders>
            <w:noWrap w:val="0"/>
            <w:vAlign w:val="center"/>
          </w:tcPr>
          <w:p w14:paraId="410AC8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301D2F4F">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254C3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0ED03D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662" w:type="pct"/>
            <w:tcBorders>
              <w:top w:val="nil"/>
              <w:left w:val="nil"/>
              <w:bottom w:val="single" w:color="auto" w:sz="4" w:space="0"/>
              <w:right w:val="single" w:color="auto" w:sz="4" w:space="0"/>
            </w:tcBorders>
            <w:noWrap w:val="0"/>
            <w:vAlign w:val="center"/>
          </w:tcPr>
          <w:p w14:paraId="30C554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765" w:type="pct"/>
            <w:tcBorders>
              <w:top w:val="nil"/>
              <w:left w:val="nil"/>
              <w:bottom w:val="single" w:color="auto" w:sz="4" w:space="0"/>
              <w:right w:val="single" w:color="auto" w:sz="4" w:space="0"/>
            </w:tcBorders>
            <w:noWrap w:val="0"/>
            <w:vAlign w:val="center"/>
          </w:tcPr>
          <w:p w14:paraId="7CE92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65" w:type="pct"/>
            <w:tcBorders>
              <w:top w:val="nil"/>
              <w:left w:val="nil"/>
              <w:bottom w:val="single" w:color="auto" w:sz="4" w:space="0"/>
              <w:right w:val="single" w:color="auto" w:sz="4" w:space="0"/>
            </w:tcBorders>
            <w:noWrap w:val="0"/>
            <w:vAlign w:val="center"/>
          </w:tcPr>
          <w:p w14:paraId="395295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778" w:type="pct"/>
            <w:tcBorders>
              <w:top w:val="nil"/>
              <w:left w:val="nil"/>
              <w:bottom w:val="single" w:color="auto" w:sz="4" w:space="0"/>
              <w:right w:val="single" w:color="auto" w:sz="4" w:space="0"/>
            </w:tcBorders>
            <w:noWrap w:val="0"/>
            <w:vAlign w:val="center"/>
          </w:tcPr>
          <w:p w14:paraId="141938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61" w:type="pct"/>
            <w:tcBorders>
              <w:top w:val="nil"/>
              <w:left w:val="nil"/>
              <w:bottom w:val="single" w:color="auto" w:sz="4" w:space="0"/>
              <w:right w:val="single" w:color="auto" w:sz="4" w:space="0"/>
            </w:tcBorders>
            <w:noWrap w:val="0"/>
            <w:vAlign w:val="center"/>
          </w:tcPr>
          <w:p w14:paraId="258A10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5527D385">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24B178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01FAE4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662" w:type="pct"/>
            <w:tcBorders>
              <w:top w:val="nil"/>
              <w:left w:val="nil"/>
              <w:bottom w:val="single" w:color="auto" w:sz="4" w:space="0"/>
              <w:right w:val="single" w:color="auto" w:sz="4" w:space="0"/>
            </w:tcBorders>
            <w:noWrap w:val="0"/>
            <w:vAlign w:val="center"/>
          </w:tcPr>
          <w:p w14:paraId="777C856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765" w:type="pct"/>
            <w:tcBorders>
              <w:top w:val="nil"/>
              <w:left w:val="nil"/>
              <w:bottom w:val="single" w:color="auto" w:sz="4" w:space="0"/>
              <w:right w:val="single" w:color="auto" w:sz="4" w:space="0"/>
            </w:tcBorders>
            <w:noWrap w:val="0"/>
            <w:vAlign w:val="center"/>
          </w:tcPr>
          <w:p w14:paraId="33611E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765" w:type="pct"/>
            <w:tcBorders>
              <w:top w:val="nil"/>
              <w:left w:val="nil"/>
              <w:bottom w:val="single" w:color="auto" w:sz="4" w:space="0"/>
              <w:right w:val="single" w:color="auto" w:sz="4" w:space="0"/>
            </w:tcBorders>
            <w:noWrap w:val="0"/>
            <w:vAlign w:val="center"/>
          </w:tcPr>
          <w:p w14:paraId="131F98F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778" w:type="pct"/>
            <w:tcBorders>
              <w:top w:val="nil"/>
              <w:left w:val="nil"/>
              <w:bottom w:val="single" w:color="auto" w:sz="4" w:space="0"/>
              <w:right w:val="single" w:color="auto" w:sz="4" w:space="0"/>
            </w:tcBorders>
            <w:noWrap w:val="0"/>
            <w:vAlign w:val="center"/>
          </w:tcPr>
          <w:p w14:paraId="1C6CE2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661" w:type="pct"/>
            <w:tcBorders>
              <w:top w:val="nil"/>
              <w:left w:val="nil"/>
              <w:bottom w:val="single" w:color="auto" w:sz="4" w:space="0"/>
              <w:right w:val="single" w:color="auto" w:sz="4" w:space="0"/>
            </w:tcBorders>
            <w:noWrap w:val="0"/>
            <w:vAlign w:val="center"/>
          </w:tcPr>
          <w:p w14:paraId="3F1D0C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27BDF207">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254173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70DA3F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662" w:type="pct"/>
            <w:tcBorders>
              <w:top w:val="nil"/>
              <w:left w:val="nil"/>
              <w:bottom w:val="single" w:color="auto" w:sz="4" w:space="0"/>
              <w:right w:val="single" w:color="auto" w:sz="4" w:space="0"/>
            </w:tcBorders>
            <w:noWrap w:val="0"/>
            <w:vAlign w:val="center"/>
          </w:tcPr>
          <w:p w14:paraId="07D480F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765" w:type="pct"/>
            <w:tcBorders>
              <w:top w:val="nil"/>
              <w:left w:val="nil"/>
              <w:bottom w:val="single" w:color="auto" w:sz="4" w:space="0"/>
              <w:right w:val="single" w:color="auto" w:sz="4" w:space="0"/>
            </w:tcBorders>
            <w:noWrap w:val="0"/>
            <w:vAlign w:val="center"/>
          </w:tcPr>
          <w:p w14:paraId="1CFD53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65" w:type="pct"/>
            <w:tcBorders>
              <w:top w:val="nil"/>
              <w:left w:val="nil"/>
              <w:bottom w:val="single" w:color="auto" w:sz="4" w:space="0"/>
              <w:right w:val="single" w:color="auto" w:sz="4" w:space="0"/>
            </w:tcBorders>
            <w:noWrap w:val="0"/>
            <w:vAlign w:val="center"/>
          </w:tcPr>
          <w:p w14:paraId="40EF1F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778" w:type="pct"/>
            <w:tcBorders>
              <w:top w:val="nil"/>
              <w:left w:val="nil"/>
              <w:bottom w:val="single" w:color="auto" w:sz="4" w:space="0"/>
              <w:right w:val="single" w:color="auto" w:sz="4" w:space="0"/>
            </w:tcBorders>
            <w:noWrap w:val="0"/>
            <w:vAlign w:val="center"/>
          </w:tcPr>
          <w:p w14:paraId="5CC0393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61" w:type="pct"/>
            <w:tcBorders>
              <w:top w:val="nil"/>
              <w:left w:val="nil"/>
              <w:bottom w:val="single" w:color="auto" w:sz="4" w:space="0"/>
              <w:right w:val="single" w:color="auto" w:sz="4" w:space="0"/>
            </w:tcBorders>
            <w:noWrap w:val="0"/>
            <w:vAlign w:val="center"/>
          </w:tcPr>
          <w:p w14:paraId="68587A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6A2BD433">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567F28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2AD000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662" w:type="pct"/>
            <w:tcBorders>
              <w:top w:val="nil"/>
              <w:left w:val="nil"/>
              <w:bottom w:val="single" w:color="auto" w:sz="4" w:space="0"/>
              <w:right w:val="single" w:color="auto" w:sz="4" w:space="0"/>
            </w:tcBorders>
            <w:shd w:val="clear" w:color="auto" w:fill="auto"/>
            <w:noWrap w:val="0"/>
            <w:vAlign w:val="center"/>
          </w:tcPr>
          <w:p w14:paraId="3B2B6BF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765" w:type="pct"/>
            <w:tcBorders>
              <w:top w:val="nil"/>
              <w:left w:val="nil"/>
              <w:bottom w:val="single" w:color="auto" w:sz="4" w:space="0"/>
              <w:right w:val="single" w:color="auto" w:sz="4" w:space="0"/>
            </w:tcBorders>
            <w:shd w:val="clear" w:color="auto" w:fill="auto"/>
            <w:noWrap w:val="0"/>
            <w:vAlign w:val="center"/>
          </w:tcPr>
          <w:p w14:paraId="695F6FC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65" w:type="pct"/>
            <w:tcBorders>
              <w:top w:val="nil"/>
              <w:left w:val="nil"/>
              <w:bottom w:val="single" w:color="auto" w:sz="4" w:space="0"/>
              <w:right w:val="single" w:color="auto" w:sz="4" w:space="0"/>
            </w:tcBorders>
            <w:shd w:val="clear" w:color="auto" w:fill="auto"/>
            <w:noWrap w:val="0"/>
            <w:vAlign w:val="center"/>
          </w:tcPr>
          <w:p w14:paraId="102D5C7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778" w:type="pct"/>
            <w:tcBorders>
              <w:top w:val="nil"/>
              <w:left w:val="nil"/>
              <w:bottom w:val="single" w:color="auto" w:sz="4" w:space="0"/>
              <w:right w:val="single" w:color="auto" w:sz="4" w:space="0"/>
            </w:tcBorders>
            <w:shd w:val="clear" w:color="auto" w:fill="auto"/>
            <w:noWrap w:val="0"/>
            <w:vAlign w:val="center"/>
          </w:tcPr>
          <w:p w14:paraId="2EF2602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61" w:type="pct"/>
            <w:tcBorders>
              <w:top w:val="nil"/>
              <w:left w:val="nil"/>
              <w:bottom w:val="single" w:color="auto" w:sz="4" w:space="0"/>
              <w:right w:val="single" w:color="auto" w:sz="4" w:space="0"/>
            </w:tcBorders>
            <w:shd w:val="clear" w:color="auto" w:fill="auto"/>
            <w:noWrap w:val="0"/>
            <w:vAlign w:val="center"/>
          </w:tcPr>
          <w:p w14:paraId="274D675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421C8028">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2CAC2D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741964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662" w:type="pct"/>
            <w:tcBorders>
              <w:top w:val="nil"/>
              <w:left w:val="nil"/>
              <w:bottom w:val="single" w:color="auto" w:sz="4" w:space="0"/>
              <w:right w:val="single" w:color="auto" w:sz="4" w:space="0"/>
            </w:tcBorders>
            <w:noWrap w:val="0"/>
            <w:vAlign w:val="center"/>
          </w:tcPr>
          <w:p w14:paraId="7484F2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500</w:t>
            </w:r>
          </w:p>
        </w:tc>
        <w:tc>
          <w:tcPr>
            <w:tcW w:w="765" w:type="pct"/>
            <w:tcBorders>
              <w:top w:val="nil"/>
              <w:left w:val="nil"/>
              <w:bottom w:val="single" w:color="auto" w:sz="4" w:space="0"/>
              <w:right w:val="single" w:color="auto" w:sz="4" w:space="0"/>
            </w:tcBorders>
            <w:noWrap w:val="0"/>
            <w:vAlign w:val="center"/>
          </w:tcPr>
          <w:p w14:paraId="37F533E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400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500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765" w:type="pct"/>
            <w:tcBorders>
              <w:top w:val="nil"/>
              <w:left w:val="nil"/>
              <w:bottom w:val="single" w:color="auto" w:sz="4" w:space="0"/>
              <w:right w:val="single" w:color="auto" w:sz="4" w:space="0"/>
            </w:tcBorders>
            <w:noWrap w:val="0"/>
            <w:vAlign w:val="center"/>
          </w:tcPr>
          <w:p w14:paraId="7936933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300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400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778" w:type="pct"/>
            <w:tcBorders>
              <w:top w:val="nil"/>
              <w:left w:val="nil"/>
              <w:bottom w:val="single" w:color="auto" w:sz="4" w:space="0"/>
              <w:right w:val="single" w:color="auto" w:sz="4" w:space="0"/>
            </w:tcBorders>
            <w:noWrap w:val="0"/>
            <w:vAlign w:val="center"/>
          </w:tcPr>
          <w:p w14:paraId="19DC66E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200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300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661" w:type="pct"/>
            <w:tcBorders>
              <w:top w:val="nil"/>
              <w:left w:val="nil"/>
              <w:bottom w:val="single" w:color="auto" w:sz="4" w:space="0"/>
              <w:right w:val="single" w:color="auto" w:sz="4" w:space="0"/>
            </w:tcBorders>
            <w:noWrap w:val="0"/>
            <w:vAlign w:val="center"/>
          </w:tcPr>
          <w:p w14:paraId="13A5531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200</w:t>
            </w:r>
          </w:p>
        </w:tc>
      </w:tr>
      <w:tr w14:paraId="190D3FDD">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355259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1009" w:type="pct"/>
            <w:tcBorders>
              <w:top w:val="single" w:color="auto" w:sz="4" w:space="0"/>
              <w:left w:val="nil"/>
              <w:bottom w:val="single" w:color="auto" w:sz="4" w:space="0"/>
              <w:right w:val="single" w:color="auto" w:sz="4" w:space="0"/>
            </w:tcBorders>
            <w:noWrap w:val="0"/>
            <w:vAlign w:val="center"/>
          </w:tcPr>
          <w:p w14:paraId="50B10F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银行</w:t>
            </w:r>
            <w:r>
              <w:rPr>
                <w:rFonts w:hint="eastAsia" w:ascii="Times New Roman" w:hAnsi="Times New Roman" w:eastAsia="仿宋" w:cs="仿宋"/>
                <w:b w:val="0"/>
                <w:bCs w:val="0"/>
                <w:caps w:val="0"/>
                <w:smallCaps w:val="0"/>
                <w:color w:val="auto"/>
                <w:sz w:val="21"/>
                <w:szCs w:val="21"/>
                <w:highlight w:val="none"/>
              </w:rPr>
              <w:t>距离（米）</w:t>
            </w:r>
          </w:p>
        </w:tc>
        <w:tc>
          <w:tcPr>
            <w:tcW w:w="662" w:type="pct"/>
            <w:tcBorders>
              <w:top w:val="nil"/>
              <w:left w:val="nil"/>
              <w:bottom w:val="single" w:color="auto" w:sz="4" w:space="0"/>
              <w:right w:val="single" w:color="auto" w:sz="4" w:space="0"/>
            </w:tcBorders>
            <w:noWrap w:val="0"/>
            <w:vAlign w:val="center"/>
          </w:tcPr>
          <w:p w14:paraId="7A81D2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765" w:type="pct"/>
            <w:tcBorders>
              <w:top w:val="nil"/>
              <w:left w:val="nil"/>
              <w:bottom w:val="single" w:color="auto" w:sz="4" w:space="0"/>
              <w:right w:val="single" w:color="auto" w:sz="4" w:space="0"/>
            </w:tcBorders>
            <w:noWrap w:val="0"/>
            <w:vAlign w:val="center"/>
          </w:tcPr>
          <w:p w14:paraId="37EC3A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65" w:type="pct"/>
            <w:tcBorders>
              <w:top w:val="nil"/>
              <w:left w:val="nil"/>
              <w:bottom w:val="single" w:color="auto" w:sz="4" w:space="0"/>
              <w:right w:val="single" w:color="auto" w:sz="4" w:space="0"/>
            </w:tcBorders>
            <w:noWrap w:val="0"/>
            <w:vAlign w:val="center"/>
          </w:tcPr>
          <w:p w14:paraId="3533C1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778" w:type="pct"/>
            <w:tcBorders>
              <w:top w:val="nil"/>
              <w:left w:val="nil"/>
              <w:bottom w:val="single" w:color="auto" w:sz="4" w:space="0"/>
              <w:right w:val="single" w:color="auto" w:sz="4" w:space="0"/>
            </w:tcBorders>
            <w:noWrap w:val="0"/>
            <w:vAlign w:val="center"/>
          </w:tcPr>
          <w:p w14:paraId="2D630C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700—</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c>
          <w:tcPr>
            <w:tcW w:w="661" w:type="pct"/>
            <w:tcBorders>
              <w:top w:val="nil"/>
              <w:left w:val="nil"/>
              <w:bottom w:val="single" w:color="auto" w:sz="4" w:space="0"/>
              <w:right w:val="single" w:color="auto" w:sz="4" w:space="0"/>
            </w:tcBorders>
            <w:noWrap w:val="0"/>
            <w:vAlign w:val="center"/>
          </w:tcPr>
          <w:p w14:paraId="157552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800</w:t>
            </w:r>
          </w:p>
        </w:tc>
      </w:tr>
      <w:tr w14:paraId="3FDF049A">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noWrap w:val="0"/>
            <w:vAlign w:val="center"/>
          </w:tcPr>
          <w:p w14:paraId="18BF79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360DE4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学校</w:t>
            </w:r>
            <w:r>
              <w:rPr>
                <w:rFonts w:hint="eastAsia" w:ascii="Times New Roman" w:hAnsi="Times New Roman" w:eastAsia="仿宋" w:cs="仿宋"/>
                <w:b w:val="0"/>
                <w:bCs w:val="0"/>
                <w:caps w:val="0"/>
                <w:smallCaps w:val="0"/>
                <w:color w:val="auto"/>
                <w:sz w:val="21"/>
                <w:szCs w:val="21"/>
                <w:highlight w:val="none"/>
              </w:rPr>
              <w:t>距离（米）</w:t>
            </w:r>
          </w:p>
        </w:tc>
        <w:tc>
          <w:tcPr>
            <w:tcW w:w="662" w:type="pct"/>
            <w:tcBorders>
              <w:top w:val="nil"/>
              <w:left w:val="nil"/>
              <w:bottom w:val="single" w:color="auto" w:sz="4" w:space="0"/>
              <w:right w:val="single" w:color="auto" w:sz="4" w:space="0"/>
            </w:tcBorders>
            <w:noWrap w:val="0"/>
            <w:vAlign w:val="center"/>
          </w:tcPr>
          <w:p w14:paraId="24B23C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765" w:type="pct"/>
            <w:tcBorders>
              <w:top w:val="nil"/>
              <w:left w:val="nil"/>
              <w:bottom w:val="single" w:color="auto" w:sz="4" w:space="0"/>
              <w:right w:val="single" w:color="auto" w:sz="4" w:space="0"/>
            </w:tcBorders>
            <w:noWrap w:val="0"/>
            <w:vAlign w:val="center"/>
          </w:tcPr>
          <w:p w14:paraId="6E57F3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65" w:type="pct"/>
            <w:tcBorders>
              <w:top w:val="nil"/>
              <w:left w:val="nil"/>
              <w:bottom w:val="single" w:color="auto" w:sz="4" w:space="0"/>
              <w:right w:val="single" w:color="auto" w:sz="4" w:space="0"/>
            </w:tcBorders>
            <w:noWrap w:val="0"/>
            <w:vAlign w:val="center"/>
          </w:tcPr>
          <w:p w14:paraId="1E2190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778" w:type="pct"/>
            <w:tcBorders>
              <w:top w:val="nil"/>
              <w:left w:val="nil"/>
              <w:bottom w:val="single" w:color="auto" w:sz="4" w:space="0"/>
              <w:right w:val="single" w:color="auto" w:sz="4" w:space="0"/>
            </w:tcBorders>
            <w:noWrap w:val="0"/>
            <w:vAlign w:val="center"/>
          </w:tcPr>
          <w:p w14:paraId="012D92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c>
          <w:tcPr>
            <w:tcW w:w="661" w:type="pct"/>
            <w:tcBorders>
              <w:top w:val="nil"/>
              <w:left w:val="nil"/>
              <w:bottom w:val="single" w:color="auto" w:sz="4" w:space="0"/>
              <w:right w:val="single" w:color="auto" w:sz="4" w:space="0"/>
            </w:tcBorders>
            <w:noWrap w:val="0"/>
            <w:vAlign w:val="center"/>
          </w:tcPr>
          <w:p w14:paraId="75285E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800</w:t>
            </w:r>
          </w:p>
        </w:tc>
      </w:tr>
      <w:tr w14:paraId="4B5171C3">
        <w:tblPrEx>
          <w:tblCellMar>
            <w:top w:w="0" w:type="dxa"/>
            <w:left w:w="108" w:type="dxa"/>
            <w:bottom w:w="0" w:type="dxa"/>
            <w:right w:w="108" w:type="dxa"/>
          </w:tblCellMar>
        </w:tblPrEx>
        <w:trPr>
          <w:trHeight w:val="255" w:hRule="atLeast"/>
        </w:trPr>
        <w:tc>
          <w:tcPr>
            <w:tcW w:w="356" w:type="pct"/>
            <w:vMerge w:val="continue"/>
            <w:tcBorders>
              <w:left w:val="single" w:color="auto" w:sz="4" w:space="0"/>
              <w:bottom w:val="single" w:color="000000" w:sz="4" w:space="0"/>
              <w:right w:val="single" w:color="auto" w:sz="4" w:space="0"/>
            </w:tcBorders>
            <w:noWrap w:val="0"/>
            <w:vAlign w:val="center"/>
          </w:tcPr>
          <w:p w14:paraId="43C383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4B179B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距医院距离（米）</w:t>
            </w:r>
          </w:p>
        </w:tc>
        <w:tc>
          <w:tcPr>
            <w:tcW w:w="662" w:type="pct"/>
            <w:tcBorders>
              <w:top w:val="nil"/>
              <w:left w:val="nil"/>
              <w:bottom w:val="single" w:color="auto" w:sz="4" w:space="0"/>
              <w:right w:val="single" w:color="auto" w:sz="4" w:space="0"/>
            </w:tcBorders>
            <w:noWrap w:val="0"/>
            <w:vAlign w:val="center"/>
          </w:tcPr>
          <w:p w14:paraId="584CE0D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765" w:type="pct"/>
            <w:tcBorders>
              <w:top w:val="nil"/>
              <w:left w:val="nil"/>
              <w:bottom w:val="single" w:color="auto" w:sz="4" w:space="0"/>
              <w:right w:val="single" w:color="auto" w:sz="4" w:space="0"/>
            </w:tcBorders>
            <w:noWrap w:val="0"/>
            <w:vAlign w:val="center"/>
          </w:tcPr>
          <w:p w14:paraId="471DD86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65" w:type="pct"/>
            <w:tcBorders>
              <w:top w:val="nil"/>
              <w:left w:val="nil"/>
              <w:bottom w:val="single" w:color="auto" w:sz="4" w:space="0"/>
              <w:right w:val="single" w:color="auto" w:sz="4" w:space="0"/>
            </w:tcBorders>
            <w:noWrap w:val="0"/>
            <w:vAlign w:val="center"/>
          </w:tcPr>
          <w:p w14:paraId="4EDD11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778" w:type="pct"/>
            <w:tcBorders>
              <w:top w:val="nil"/>
              <w:left w:val="nil"/>
              <w:bottom w:val="single" w:color="auto" w:sz="4" w:space="0"/>
              <w:right w:val="single" w:color="auto" w:sz="4" w:space="0"/>
            </w:tcBorders>
            <w:noWrap w:val="0"/>
            <w:vAlign w:val="center"/>
          </w:tcPr>
          <w:p w14:paraId="1B1AF7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800</w:t>
            </w:r>
            <w:r>
              <w:rPr>
                <w:rFonts w:hint="eastAsia" w:ascii="Times New Roman" w:hAnsi="Times New Roman" w:eastAsia="仿宋" w:cs="仿宋"/>
                <w:b w:val="0"/>
                <w:bCs w:val="0"/>
                <w:caps w:val="0"/>
                <w:smallCaps w:val="0"/>
                <w:color w:val="auto"/>
                <w:sz w:val="21"/>
                <w:szCs w:val="21"/>
                <w:highlight w:val="none"/>
              </w:rPr>
              <w:t>]</w:t>
            </w:r>
          </w:p>
        </w:tc>
        <w:tc>
          <w:tcPr>
            <w:tcW w:w="661" w:type="pct"/>
            <w:tcBorders>
              <w:top w:val="nil"/>
              <w:left w:val="nil"/>
              <w:bottom w:val="single" w:color="auto" w:sz="4" w:space="0"/>
              <w:right w:val="single" w:color="auto" w:sz="4" w:space="0"/>
            </w:tcBorders>
            <w:noWrap w:val="0"/>
            <w:vAlign w:val="center"/>
          </w:tcPr>
          <w:p w14:paraId="54D268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r>
      <w:tr w14:paraId="45161083">
        <w:tblPrEx>
          <w:tblCellMar>
            <w:top w:w="0" w:type="dxa"/>
            <w:left w:w="108" w:type="dxa"/>
            <w:bottom w:w="0" w:type="dxa"/>
            <w:right w:w="108" w:type="dxa"/>
          </w:tblCellMar>
        </w:tblPrEx>
        <w:trPr>
          <w:trHeight w:val="255" w:hRule="atLeast"/>
        </w:trPr>
        <w:tc>
          <w:tcPr>
            <w:tcW w:w="356" w:type="pct"/>
            <w:vMerge w:val="restart"/>
            <w:tcBorders>
              <w:top w:val="nil"/>
              <w:left w:val="single" w:color="auto" w:sz="4" w:space="0"/>
              <w:right w:val="single" w:color="auto" w:sz="4" w:space="0"/>
            </w:tcBorders>
            <w:shd w:val="clear" w:color="auto" w:fill="auto"/>
            <w:noWrap w:val="0"/>
            <w:vAlign w:val="center"/>
          </w:tcPr>
          <w:p w14:paraId="6DC9BBB9">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lang w:val="en-US" w:eastAsia="zh-CN"/>
              </w:rPr>
              <w:t>个别因素</w:t>
            </w:r>
          </w:p>
        </w:tc>
        <w:tc>
          <w:tcPr>
            <w:tcW w:w="1009" w:type="pct"/>
            <w:tcBorders>
              <w:top w:val="nil"/>
              <w:left w:val="nil"/>
              <w:bottom w:val="single" w:color="auto" w:sz="4" w:space="0"/>
              <w:right w:val="single" w:color="auto" w:sz="4" w:space="0"/>
            </w:tcBorders>
            <w:noWrap w:val="0"/>
            <w:vAlign w:val="center"/>
          </w:tcPr>
          <w:p w14:paraId="515EA0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环境条件</w:t>
            </w:r>
          </w:p>
        </w:tc>
        <w:tc>
          <w:tcPr>
            <w:tcW w:w="662" w:type="pct"/>
            <w:tcBorders>
              <w:top w:val="nil"/>
              <w:left w:val="nil"/>
              <w:bottom w:val="single" w:color="auto" w:sz="4" w:space="0"/>
              <w:right w:val="single" w:color="auto" w:sz="4" w:space="0"/>
            </w:tcBorders>
            <w:noWrap w:val="0"/>
            <w:vAlign w:val="center"/>
          </w:tcPr>
          <w:p w14:paraId="04940F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环境优良，无污染</w:t>
            </w:r>
          </w:p>
        </w:tc>
        <w:tc>
          <w:tcPr>
            <w:tcW w:w="765" w:type="pct"/>
            <w:tcBorders>
              <w:top w:val="nil"/>
              <w:left w:val="nil"/>
              <w:bottom w:val="single" w:color="auto" w:sz="4" w:space="0"/>
              <w:right w:val="single" w:color="auto" w:sz="4" w:space="0"/>
            </w:tcBorders>
            <w:noWrap w:val="0"/>
            <w:vAlign w:val="center"/>
          </w:tcPr>
          <w:p w14:paraId="4FECFB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环境良好，基本无污染</w:t>
            </w:r>
          </w:p>
        </w:tc>
        <w:tc>
          <w:tcPr>
            <w:tcW w:w="765" w:type="pct"/>
            <w:tcBorders>
              <w:top w:val="nil"/>
              <w:left w:val="nil"/>
              <w:bottom w:val="single" w:color="auto" w:sz="4" w:space="0"/>
              <w:right w:val="single" w:color="auto" w:sz="4" w:space="0"/>
            </w:tcBorders>
            <w:noWrap w:val="0"/>
            <w:vAlign w:val="center"/>
          </w:tcPr>
          <w:p w14:paraId="3FA395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环境一般，轻度污染</w:t>
            </w:r>
          </w:p>
        </w:tc>
        <w:tc>
          <w:tcPr>
            <w:tcW w:w="778" w:type="pct"/>
            <w:tcBorders>
              <w:top w:val="nil"/>
              <w:left w:val="nil"/>
              <w:bottom w:val="single" w:color="auto" w:sz="4" w:space="0"/>
              <w:right w:val="single" w:color="auto" w:sz="4" w:space="0"/>
            </w:tcBorders>
            <w:noWrap w:val="0"/>
            <w:vAlign w:val="center"/>
          </w:tcPr>
          <w:p w14:paraId="49F175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环境较差，污染较重</w:t>
            </w:r>
          </w:p>
        </w:tc>
        <w:tc>
          <w:tcPr>
            <w:tcW w:w="661" w:type="pct"/>
            <w:tcBorders>
              <w:top w:val="nil"/>
              <w:left w:val="nil"/>
              <w:bottom w:val="single" w:color="auto" w:sz="4" w:space="0"/>
              <w:right w:val="single" w:color="auto" w:sz="4" w:space="0"/>
            </w:tcBorders>
            <w:noWrap w:val="0"/>
            <w:vAlign w:val="center"/>
          </w:tcPr>
          <w:p w14:paraId="3E5E0C6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环境差，严重污染</w:t>
            </w:r>
          </w:p>
        </w:tc>
      </w:tr>
      <w:tr w14:paraId="51A8D4F8">
        <w:tblPrEx>
          <w:tblCellMar>
            <w:top w:w="0" w:type="dxa"/>
            <w:left w:w="108" w:type="dxa"/>
            <w:bottom w:w="0" w:type="dxa"/>
            <w:right w:w="108" w:type="dxa"/>
          </w:tblCellMar>
        </w:tblPrEx>
        <w:trPr>
          <w:trHeight w:val="255" w:hRule="atLeast"/>
        </w:trPr>
        <w:tc>
          <w:tcPr>
            <w:tcW w:w="356" w:type="pct"/>
            <w:vMerge w:val="continue"/>
            <w:tcBorders>
              <w:left w:val="single" w:color="auto" w:sz="4" w:space="0"/>
              <w:right w:val="single" w:color="auto" w:sz="4" w:space="0"/>
            </w:tcBorders>
            <w:shd w:val="clear" w:color="auto" w:fill="auto"/>
            <w:noWrap w:val="0"/>
            <w:vAlign w:val="center"/>
          </w:tcPr>
          <w:p w14:paraId="6449788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p>
        </w:tc>
        <w:tc>
          <w:tcPr>
            <w:tcW w:w="1009" w:type="pct"/>
            <w:tcBorders>
              <w:top w:val="nil"/>
              <w:left w:val="nil"/>
              <w:bottom w:val="single" w:color="auto" w:sz="4" w:space="0"/>
              <w:right w:val="single" w:color="auto" w:sz="4" w:space="0"/>
            </w:tcBorders>
            <w:noWrap w:val="0"/>
            <w:vAlign w:val="center"/>
          </w:tcPr>
          <w:p w14:paraId="197B40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662" w:type="pct"/>
            <w:tcBorders>
              <w:top w:val="nil"/>
              <w:left w:val="nil"/>
              <w:bottom w:val="single" w:color="auto" w:sz="4" w:space="0"/>
              <w:right w:val="single" w:color="auto" w:sz="4" w:space="0"/>
            </w:tcBorders>
            <w:noWrap w:val="0"/>
            <w:vAlign w:val="center"/>
          </w:tcPr>
          <w:p w14:paraId="30661E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面积适中，对土地利用有利</w:t>
            </w:r>
          </w:p>
        </w:tc>
        <w:tc>
          <w:tcPr>
            <w:tcW w:w="765" w:type="pct"/>
            <w:tcBorders>
              <w:top w:val="nil"/>
              <w:left w:val="nil"/>
              <w:bottom w:val="single" w:color="auto" w:sz="4" w:space="0"/>
              <w:right w:val="single" w:color="auto" w:sz="4" w:space="0"/>
            </w:tcBorders>
            <w:noWrap w:val="0"/>
            <w:vAlign w:val="center"/>
          </w:tcPr>
          <w:p w14:paraId="23FE08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面积对土地利用较为有利</w:t>
            </w:r>
          </w:p>
        </w:tc>
        <w:tc>
          <w:tcPr>
            <w:tcW w:w="765" w:type="pct"/>
            <w:tcBorders>
              <w:top w:val="nil"/>
              <w:left w:val="nil"/>
              <w:bottom w:val="single" w:color="auto" w:sz="4" w:space="0"/>
              <w:right w:val="single" w:color="auto" w:sz="4" w:space="0"/>
            </w:tcBorders>
            <w:noWrap w:val="0"/>
            <w:vAlign w:val="center"/>
          </w:tcPr>
          <w:p w14:paraId="04CE27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面积对土地利用无不良影响</w:t>
            </w:r>
          </w:p>
        </w:tc>
        <w:tc>
          <w:tcPr>
            <w:tcW w:w="778" w:type="pct"/>
            <w:tcBorders>
              <w:top w:val="nil"/>
              <w:left w:val="nil"/>
              <w:bottom w:val="single" w:color="auto" w:sz="4" w:space="0"/>
              <w:right w:val="single" w:color="auto" w:sz="4" w:space="0"/>
            </w:tcBorders>
            <w:noWrap w:val="0"/>
            <w:vAlign w:val="center"/>
          </w:tcPr>
          <w:p w14:paraId="5C11707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面积较小，对土地利用有一定影响</w:t>
            </w:r>
          </w:p>
        </w:tc>
        <w:tc>
          <w:tcPr>
            <w:tcW w:w="661" w:type="pct"/>
            <w:tcBorders>
              <w:top w:val="nil"/>
              <w:left w:val="nil"/>
              <w:bottom w:val="single" w:color="auto" w:sz="4" w:space="0"/>
              <w:right w:val="single" w:color="auto" w:sz="4" w:space="0"/>
            </w:tcBorders>
            <w:noWrap w:val="0"/>
            <w:vAlign w:val="center"/>
          </w:tcPr>
          <w:p w14:paraId="2B17C7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面积过小，对土地利用产生不利影响</w:t>
            </w:r>
          </w:p>
        </w:tc>
      </w:tr>
      <w:tr w14:paraId="4D6ECE93">
        <w:tblPrEx>
          <w:tblCellMar>
            <w:top w:w="0" w:type="dxa"/>
            <w:left w:w="108" w:type="dxa"/>
            <w:bottom w:w="0" w:type="dxa"/>
            <w:right w:w="108" w:type="dxa"/>
          </w:tblCellMar>
        </w:tblPrEx>
        <w:trPr>
          <w:trHeight w:val="255" w:hRule="atLeast"/>
        </w:trPr>
        <w:tc>
          <w:tcPr>
            <w:tcW w:w="356" w:type="pct"/>
            <w:vMerge w:val="continue"/>
            <w:tcBorders>
              <w:left w:val="single" w:color="auto" w:sz="4" w:space="0"/>
              <w:bottom w:val="single" w:color="000000" w:sz="4" w:space="0"/>
              <w:right w:val="single" w:color="auto" w:sz="4" w:space="0"/>
            </w:tcBorders>
            <w:noWrap w:val="0"/>
            <w:vAlign w:val="center"/>
          </w:tcPr>
          <w:p w14:paraId="15CAE1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09" w:type="pct"/>
            <w:tcBorders>
              <w:top w:val="nil"/>
              <w:left w:val="nil"/>
              <w:bottom w:val="single" w:color="auto" w:sz="4" w:space="0"/>
              <w:right w:val="single" w:color="auto" w:sz="4" w:space="0"/>
            </w:tcBorders>
            <w:noWrap w:val="0"/>
            <w:vAlign w:val="center"/>
          </w:tcPr>
          <w:p w14:paraId="46C5A4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662" w:type="pct"/>
            <w:tcBorders>
              <w:top w:val="nil"/>
              <w:left w:val="nil"/>
              <w:bottom w:val="single" w:color="auto" w:sz="4" w:space="0"/>
              <w:right w:val="single" w:color="auto" w:sz="4" w:space="0"/>
            </w:tcBorders>
            <w:noWrap w:val="0"/>
            <w:vAlign w:val="center"/>
          </w:tcPr>
          <w:p w14:paraId="05B9A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宗地形状规则，利于土地利用</w:t>
            </w:r>
          </w:p>
        </w:tc>
        <w:tc>
          <w:tcPr>
            <w:tcW w:w="765" w:type="pct"/>
            <w:tcBorders>
              <w:top w:val="nil"/>
              <w:left w:val="nil"/>
              <w:bottom w:val="single" w:color="auto" w:sz="4" w:space="0"/>
              <w:right w:val="single" w:color="auto" w:sz="4" w:space="0"/>
            </w:tcBorders>
            <w:noWrap w:val="0"/>
            <w:vAlign w:val="center"/>
          </w:tcPr>
          <w:p w14:paraId="6479E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宗地形状较规则，较利于土地利用</w:t>
            </w:r>
          </w:p>
        </w:tc>
        <w:tc>
          <w:tcPr>
            <w:tcW w:w="765" w:type="pct"/>
            <w:tcBorders>
              <w:top w:val="nil"/>
              <w:left w:val="nil"/>
              <w:bottom w:val="single" w:color="auto" w:sz="4" w:space="0"/>
              <w:right w:val="single" w:color="auto" w:sz="4" w:space="0"/>
            </w:tcBorders>
            <w:noWrap w:val="0"/>
            <w:vAlign w:val="center"/>
          </w:tcPr>
          <w:p w14:paraId="759AC4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宗地形状一般，利于土地利用无影响</w:t>
            </w:r>
          </w:p>
        </w:tc>
        <w:tc>
          <w:tcPr>
            <w:tcW w:w="778" w:type="pct"/>
            <w:tcBorders>
              <w:top w:val="nil"/>
              <w:left w:val="nil"/>
              <w:bottom w:val="single" w:color="auto" w:sz="4" w:space="0"/>
              <w:right w:val="single" w:color="auto" w:sz="4" w:space="0"/>
            </w:tcBorders>
            <w:noWrap w:val="0"/>
            <w:vAlign w:val="center"/>
          </w:tcPr>
          <w:p w14:paraId="513B43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宗地形状较不规则，对土地利用有一定影响</w:t>
            </w:r>
          </w:p>
        </w:tc>
        <w:tc>
          <w:tcPr>
            <w:tcW w:w="661" w:type="pct"/>
            <w:tcBorders>
              <w:top w:val="nil"/>
              <w:left w:val="nil"/>
              <w:bottom w:val="single" w:color="auto" w:sz="4" w:space="0"/>
              <w:right w:val="single" w:color="auto" w:sz="4" w:space="0"/>
            </w:tcBorders>
            <w:noWrap w:val="0"/>
            <w:vAlign w:val="center"/>
          </w:tcPr>
          <w:p w14:paraId="011B6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宗地形状不规则，不利于土地利用</w:t>
            </w:r>
          </w:p>
        </w:tc>
      </w:tr>
    </w:tbl>
    <w:p w14:paraId="00B12385">
      <w:pPr>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caps w:val="0"/>
          <w:smallCaps w:val="0"/>
          <w:color w:val="auto"/>
          <w:sz w:val="24"/>
          <w:highlight w:val="none"/>
          <w:lang w:eastAsia="zh-CN"/>
        </w:rPr>
        <w:br w:type="page"/>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5"/>
        <w:gridCol w:w="1228"/>
        <w:gridCol w:w="1228"/>
        <w:gridCol w:w="1346"/>
        <w:gridCol w:w="1228"/>
        <w:gridCol w:w="1228"/>
        <w:gridCol w:w="1236"/>
      </w:tblGrid>
      <w:tr w14:paraId="2563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5000" w:type="pct"/>
            <w:gridSpan w:val="7"/>
            <w:tcBorders>
              <w:top w:val="nil"/>
              <w:left w:val="nil"/>
              <w:bottom w:val="nil"/>
              <w:right w:val="nil"/>
            </w:tcBorders>
            <w:shd w:val="clear" w:color="auto" w:fill="auto"/>
            <w:noWrap/>
            <w:vAlign w:val="center"/>
          </w:tcPr>
          <w:p w14:paraId="4522FA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rPr>
            </w:pPr>
            <w:r>
              <w:rPr>
                <w:rFonts w:hint="eastAsia" w:ascii="Times New Roman" w:hAnsi="Times New Roman" w:eastAsia="仿宋" w:cs="仿宋"/>
                <w:b/>
                <w:caps w:val="0"/>
                <w:smallCaps w:val="0"/>
                <w:color w:val="auto"/>
                <w:sz w:val="24"/>
                <w:szCs w:val="24"/>
                <w:highlight w:val="none"/>
                <w:lang w:eastAsia="zh-CN"/>
              </w:rPr>
              <w:br w:type="page"/>
            </w: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 xml:space="preserve">2-8 </w:t>
            </w:r>
            <w:r>
              <w:rPr>
                <w:rFonts w:hint="eastAsia" w:ascii="Times New Roman" w:hAnsi="Times New Roman" w:eastAsia="仿宋" w:cs="仿宋"/>
                <w:b/>
                <w:caps w:val="0"/>
                <w:smallCaps w:val="0"/>
                <w:color w:val="auto"/>
                <w:sz w:val="24"/>
                <w:szCs w:val="24"/>
                <w:highlight w:val="none"/>
                <w:lang w:val="en-US" w:eastAsia="zh-CN"/>
              </w:rPr>
              <w:t>Ⅰ级居住用地地价地价影响因素指标说明表</w:t>
            </w:r>
          </w:p>
        </w:tc>
      </w:tr>
      <w:tr w14:paraId="43880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B9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B39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C5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F8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EC2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122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4A4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55656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2E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AB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2C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0.0208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13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0.0104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D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0B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28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-0.0239 </w:t>
            </w:r>
          </w:p>
        </w:tc>
      </w:tr>
      <w:tr w14:paraId="38BF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73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17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07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0.0160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27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04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14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-0.0092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A4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-0.0184 </w:t>
            </w:r>
          </w:p>
        </w:tc>
      </w:tr>
      <w:tr w14:paraId="5B18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92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25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71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0.0160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D2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26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7E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-0.0092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0F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-0.0184 </w:t>
            </w:r>
          </w:p>
        </w:tc>
      </w:tr>
      <w:tr w14:paraId="7616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6C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78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E5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0.0128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8F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3D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22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D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-0.0147 </w:t>
            </w:r>
          </w:p>
        </w:tc>
      </w:tr>
      <w:tr w14:paraId="71744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FD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2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9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0D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5C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5A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85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1F41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A7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D0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F0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E4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7F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EE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9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4EE53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0B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D3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7E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61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05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E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F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6703C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4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距银行距离</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03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A3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3D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FD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83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D4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6B16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A5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距学校距离</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02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2E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60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98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5C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FE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086C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33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距医院距离</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6E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C9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2F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0E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87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B4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57AD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B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环境条件</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D9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3A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95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BD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9A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62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63F8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50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7E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4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C2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21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8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39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779BD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A2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E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92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83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0D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86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88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bl>
    <w:p w14:paraId="401CF730">
      <w:pPr>
        <w:keepNext w:val="0"/>
        <w:keepLines w:val="0"/>
        <w:pageBreakBefore w:val="0"/>
        <w:widowControl/>
        <w:kinsoku/>
        <w:wordWrap/>
        <w:overflowPunct/>
        <w:topLinePunct w:val="0"/>
        <w:autoSpaceDE/>
        <w:autoSpaceDN/>
        <w:bidi w:val="0"/>
        <w:adjustRightInd/>
        <w:snapToGrid/>
        <w:spacing w:before="136" w:beforeLines="50"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lang w:eastAsia="zh-CN"/>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0DF95D4E">
      <w:pPr>
        <w:keepNext w:val="0"/>
        <w:keepLines w:val="0"/>
        <w:pageBreakBefore w:val="0"/>
        <w:widowControl/>
        <w:kinsoku/>
        <w:wordWrap/>
        <w:overflowPunct/>
        <w:topLinePunct w:val="0"/>
        <w:autoSpaceDE/>
        <w:autoSpaceDN/>
        <w:bidi w:val="0"/>
        <w:adjustRightInd/>
        <w:snapToGrid/>
        <w:spacing w:before="136" w:beforeLines="50" w:line="360" w:lineRule="auto"/>
        <w:ind w:firstLine="0" w:firstLineChars="0"/>
        <w:jc w:val="center"/>
        <w:textAlignment w:val="auto"/>
        <w:outlineLvl w:val="9"/>
        <w:rPr>
          <w:rFonts w:hint="eastAsia" w:ascii="Times New Roman" w:hAnsi="Times New Roman" w:eastAsia="仿宋" w:cs="仿宋"/>
          <w:b/>
          <w:caps w:val="0"/>
          <w:smallCaps w:val="0"/>
          <w:color w:val="auto"/>
          <w:sz w:val="24"/>
          <w:highlight w:val="none"/>
          <w:lang w:eastAsia="zh-CN"/>
        </w:rPr>
      </w:pPr>
      <w:r>
        <w:rPr>
          <w:rFonts w:hint="eastAsia" w:ascii="Times New Roman" w:hAnsi="Times New Roman" w:eastAsia="仿宋" w:cs="仿宋"/>
          <w:b/>
          <w:caps w:val="0"/>
          <w:smallCaps w:val="0"/>
          <w:color w:val="auto"/>
          <w:sz w:val="24"/>
          <w:highlight w:val="none"/>
          <w:lang w:eastAsia="zh-CN"/>
        </w:rPr>
        <w:t>　　</w:t>
      </w: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2-9</w:t>
      </w:r>
      <w:r>
        <w:rPr>
          <w:rFonts w:hint="eastAsia" w:ascii="Times New Roman" w:hAnsi="Times New Roman" w:eastAsia="仿宋" w:cs="仿宋"/>
          <w:b/>
          <w:caps w:val="0"/>
          <w:smallCaps w:val="0"/>
          <w:color w:val="auto"/>
          <w:sz w:val="24"/>
          <w:highlight w:val="none"/>
        </w:rPr>
        <w:t xml:space="preserve">  Ⅱ级</w:t>
      </w:r>
      <w:r>
        <w:rPr>
          <w:rFonts w:hint="eastAsia" w:ascii="Times New Roman" w:hAnsi="Times New Roman" w:eastAsia="仿宋" w:cs="仿宋"/>
          <w:b/>
          <w:caps w:val="0"/>
          <w:smallCaps w:val="0"/>
          <w:color w:val="auto"/>
          <w:sz w:val="24"/>
          <w:highlight w:val="none"/>
          <w:lang w:eastAsia="zh-CN"/>
        </w:rPr>
        <w:t>居住</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5000" w:type="pct"/>
        <w:jc w:val="center"/>
        <w:tblLayout w:type="autofit"/>
        <w:tblCellMar>
          <w:top w:w="0" w:type="dxa"/>
          <w:left w:w="108" w:type="dxa"/>
          <w:bottom w:w="0" w:type="dxa"/>
          <w:right w:w="108" w:type="dxa"/>
        </w:tblCellMar>
      </w:tblPr>
      <w:tblGrid>
        <w:gridCol w:w="512"/>
        <w:gridCol w:w="1542"/>
        <w:gridCol w:w="1066"/>
        <w:gridCol w:w="1441"/>
        <w:gridCol w:w="1546"/>
        <w:gridCol w:w="1546"/>
        <w:gridCol w:w="1066"/>
      </w:tblGrid>
      <w:tr w14:paraId="2E6F0C12">
        <w:tblPrEx>
          <w:tblCellMar>
            <w:top w:w="0" w:type="dxa"/>
            <w:left w:w="108" w:type="dxa"/>
            <w:bottom w:w="0" w:type="dxa"/>
            <w:right w:w="108" w:type="dxa"/>
          </w:tblCellMar>
        </w:tblPrEx>
        <w:trPr>
          <w:trHeight w:val="255" w:hRule="atLeast"/>
          <w:jc w:val="center"/>
        </w:trPr>
        <w:tc>
          <w:tcPr>
            <w:tcW w:w="2055" w:type="dxa"/>
            <w:gridSpan w:val="2"/>
            <w:tcBorders>
              <w:top w:val="single" w:color="auto" w:sz="4" w:space="0"/>
              <w:left w:val="single" w:color="auto" w:sz="4" w:space="0"/>
              <w:bottom w:val="single" w:color="auto" w:sz="4" w:space="0"/>
              <w:right w:val="single" w:color="auto" w:sz="4" w:space="0"/>
            </w:tcBorders>
            <w:noWrap w:val="0"/>
            <w:vAlign w:val="center"/>
          </w:tcPr>
          <w:p w14:paraId="395D89E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066" w:type="dxa"/>
            <w:tcBorders>
              <w:top w:val="single" w:color="auto" w:sz="4" w:space="0"/>
              <w:left w:val="nil"/>
              <w:bottom w:val="single" w:color="auto" w:sz="4" w:space="0"/>
              <w:right w:val="single" w:color="auto" w:sz="4" w:space="0"/>
            </w:tcBorders>
            <w:noWrap w:val="0"/>
            <w:vAlign w:val="center"/>
          </w:tcPr>
          <w:p w14:paraId="0370656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441" w:type="dxa"/>
            <w:tcBorders>
              <w:top w:val="single" w:color="auto" w:sz="4" w:space="0"/>
              <w:left w:val="nil"/>
              <w:bottom w:val="single" w:color="auto" w:sz="4" w:space="0"/>
              <w:right w:val="single" w:color="auto" w:sz="4" w:space="0"/>
            </w:tcBorders>
            <w:noWrap w:val="0"/>
            <w:vAlign w:val="center"/>
          </w:tcPr>
          <w:p w14:paraId="521A5C8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546" w:type="dxa"/>
            <w:tcBorders>
              <w:top w:val="single" w:color="auto" w:sz="4" w:space="0"/>
              <w:left w:val="nil"/>
              <w:bottom w:val="single" w:color="auto" w:sz="4" w:space="0"/>
              <w:right w:val="single" w:color="auto" w:sz="4" w:space="0"/>
            </w:tcBorders>
            <w:noWrap w:val="0"/>
            <w:vAlign w:val="center"/>
          </w:tcPr>
          <w:p w14:paraId="0EB70B7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546" w:type="dxa"/>
            <w:tcBorders>
              <w:top w:val="single" w:color="auto" w:sz="4" w:space="0"/>
              <w:left w:val="nil"/>
              <w:bottom w:val="single" w:color="auto" w:sz="4" w:space="0"/>
              <w:right w:val="single" w:color="auto" w:sz="4" w:space="0"/>
            </w:tcBorders>
            <w:noWrap w:val="0"/>
            <w:vAlign w:val="center"/>
          </w:tcPr>
          <w:p w14:paraId="3D9F08F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067" w:type="dxa"/>
            <w:tcBorders>
              <w:top w:val="single" w:color="auto" w:sz="4" w:space="0"/>
              <w:left w:val="nil"/>
              <w:bottom w:val="single" w:color="auto" w:sz="4" w:space="0"/>
              <w:right w:val="single" w:color="auto" w:sz="4" w:space="0"/>
            </w:tcBorders>
            <w:noWrap w:val="0"/>
            <w:vAlign w:val="center"/>
          </w:tcPr>
          <w:p w14:paraId="529F96B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737927D8">
        <w:tblPrEx>
          <w:tblCellMar>
            <w:top w:w="0" w:type="dxa"/>
            <w:left w:w="108" w:type="dxa"/>
            <w:bottom w:w="0" w:type="dxa"/>
            <w:right w:w="108" w:type="dxa"/>
          </w:tblCellMar>
        </w:tblPrEx>
        <w:trPr>
          <w:trHeight w:val="255" w:hRule="atLeast"/>
          <w:jc w:val="center"/>
        </w:trPr>
        <w:tc>
          <w:tcPr>
            <w:tcW w:w="294" w:type="pct"/>
            <w:vMerge w:val="restart"/>
            <w:tcBorders>
              <w:top w:val="nil"/>
              <w:left w:val="single" w:color="auto" w:sz="4" w:space="0"/>
              <w:right w:val="single" w:color="auto" w:sz="4" w:space="0"/>
            </w:tcBorders>
            <w:noWrap w:val="0"/>
            <w:vAlign w:val="center"/>
          </w:tcPr>
          <w:p w14:paraId="6315126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7359373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884" w:type="pct"/>
            <w:tcBorders>
              <w:top w:val="nil"/>
              <w:left w:val="nil"/>
              <w:bottom w:val="single" w:color="auto" w:sz="4" w:space="0"/>
              <w:right w:val="single" w:color="auto" w:sz="4" w:space="0"/>
            </w:tcBorders>
            <w:noWrap w:val="0"/>
            <w:vAlign w:val="center"/>
          </w:tcPr>
          <w:p w14:paraId="5A4485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611" w:type="pct"/>
            <w:tcBorders>
              <w:top w:val="nil"/>
              <w:left w:val="nil"/>
              <w:bottom w:val="single" w:color="auto" w:sz="4" w:space="0"/>
              <w:right w:val="single" w:color="auto" w:sz="4" w:space="0"/>
            </w:tcBorders>
            <w:noWrap w:val="0"/>
            <w:vAlign w:val="center"/>
          </w:tcPr>
          <w:p w14:paraId="6F9C3C8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35</w:t>
            </w:r>
            <w:r>
              <w:rPr>
                <w:rFonts w:hint="eastAsia" w:ascii="Times New Roman" w:hAnsi="Times New Roman" w:eastAsia="仿宋" w:cs="仿宋"/>
                <w:b w:val="0"/>
                <w:bCs w:val="0"/>
                <w:caps w:val="0"/>
                <w:smallCaps w:val="0"/>
                <w:color w:val="auto"/>
                <w:sz w:val="21"/>
                <w:szCs w:val="21"/>
                <w:highlight w:val="none"/>
              </w:rPr>
              <w:t>0</w:t>
            </w:r>
          </w:p>
        </w:tc>
        <w:tc>
          <w:tcPr>
            <w:tcW w:w="826" w:type="pct"/>
            <w:tcBorders>
              <w:top w:val="nil"/>
              <w:left w:val="nil"/>
              <w:bottom w:val="single" w:color="auto" w:sz="4" w:space="0"/>
              <w:right w:val="single" w:color="auto" w:sz="4" w:space="0"/>
            </w:tcBorders>
            <w:noWrap w:val="0"/>
            <w:vAlign w:val="center"/>
          </w:tcPr>
          <w:p w14:paraId="4DEACFA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35</w:t>
            </w:r>
            <w:r>
              <w:rPr>
                <w:rFonts w:hint="eastAsia" w:ascii="Times New Roman" w:hAnsi="Times New Roman" w:eastAsia="仿宋" w:cs="仿宋"/>
                <w:b w:val="0"/>
                <w:bCs w:val="0"/>
                <w:caps w:val="0"/>
                <w:smallCaps w:val="0"/>
                <w:color w:val="auto"/>
                <w:sz w:val="21"/>
                <w:szCs w:val="21"/>
                <w:highlight w:val="none"/>
              </w:rPr>
              <w:t>0</w:t>
            </w:r>
            <w:r>
              <w:rPr>
                <w:rFonts w:hint="eastAsia" w:ascii="Times New Roman" w:hAnsi="Times New Roman" w:eastAsia="仿宋" w:cs="仿宋"/>
                <w:b w:val="0"/>
                <w:bCs w:val="0"/>
                <w:caps w:val="0"/>
                <w:smallCaps w:val="0"/>
                <w:color w:val="auto"/>
                <w:sz w:val="21"/>
                <w:szCs w:val="21"/>
                <w:highlight w:val="none"/>
                <w:lang w:val="en-US" w:eastAsia="zh-CN"/>
              </w:rPr>
              <w:t>-650</w:t>
            </w:r>
            <w:r>
              <w:rPr>
                <w:rFonts w:hint="eastAsia" w:ascii="Times New Roman" w:hAnsi="Times New Roman" w:eastAsia="仿宋" w:cs="仿宋"/>
                <w:b w:val="0"/>
                <w:bCs w:val="0"/>
                <w:caps w:val="0"/>
                <w:smallCaps w:val="0"/>
                <w:color w:val="auto"/>
                <w:sz w:val="21"/>
                <w:szCs w:val="21"/>
                <w:highlight w:val="none"/>
              </w:rPr>
              <w:t>]</w:t>
            </w:r>
          </w:p>
        </w:tc>
        <w:tc>
          <w:tcPr>
            <w:tcW w:w="886" w:type="pct"/>
            <w:tcBorders>
              <w:top w:val="nil"/>
              <w:left w:val="nil"/>
              <w:bottom w:val="single" w:color="auto" w:sz="4" w:space="0"/>
              <w:right w:val="single" w:color="auto" w:sz="4" w:space="0"/>
            </w:tcBorders>
            <w:noWrap w:val="0"/>
            <w:vAlign w:val="center"/>
          </w:tcPr>
          <w:p w14:paraId="780E4F6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650-950</w:t>
            </w:r>
            <w:r>
              <w:rPr>
                <w:rFonts w:hint="eastAsia" w:ascii="Times New Roman" w:hAnsi="Times New Roman" w:eastAsia="仿宋" w:cs="仿宋"/>
                <w:b w:val="0"/>
                <w:bCs w:val="0"/>
                <w:caps w:val="0"/>
                <w:smallCaps w:val="0"/>
                <w:color w:val="auto"/>
                <w:sz w:val="21"/>
                <w:szCs w:val="21"/>
                <w:highlight w:val="none"/>
              </w:rPr>
              <w:t>]</w:t>
            </w:r>
          </w:p>
        </w:tc>
        <w:tc>
          <w:tcPr>
            <w:tcW w:w="886" w:type="pct"/>
            <w:tcBorders>
              <w:top w:val="nil"/>
              <w:left w:val="nil"/>
              <w:bottom w:val="single" w:color="auto" w:sz="4" w:space="0"/>
              <w:right w:val="single" w:color="auto" w:sz="4" w:space="0"/>
            </w:tcBorders>
            <w:noWrap w:val="0"/>
            <w:vAlign w:val="center"/>
          </w:tcPr>
          <w:p w14:paraId="72950C3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（950-1100]</w:t>
            </w:r>
          </w:p>
        </w:tc>
        <w:tc>
          <w:tcPr>
            <w:tcW w:w="611" w:type="pct"/>
            <w:tcBorders>
              <w:top w:val="nil"/>
              <w:left w:val="nil"/>
              <w:bottom w:val="single" w:color="auto" w:sz="4" w:space="0"/>
              <w:right w:val="single" w:color="auto" w:sz="4" w:space="0"/>
            </w:tcBorders>
            <w:noWrap w:val="0"/>
            <w:vAlign w:val="center"/>
          </w:tcPr>
          <w:p w14:paraId="1A5616A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11</w:t>
            </w:r>
            <w:r>
              <w:rPr>
                <w:rFonts w:hint="eastAsia" w:ascii="Times New Roman" w:hAnsi="Times New Roman" w:eastAsia="仿宋" w:cs="仿宋"/>
                <w:b w:val="0"/>
                <w:bCs w:val="0"/>
                <w:caps w:val="0"/>
                <w:smallCaps w:val="0"/>
                <w:color w:val="auto"/>
                <w:sz w:val="21"/>
                <w:szCs w:val="21"/>
                <w:highlight w:val="none"/>
              </w:rPr>
              <w:t>00</w:t>
            </w:r>
          </w:p>
        </w:tc>
      </w:tr>
      <w:tr w14:paraId="0A42CB0C">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3E90110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3745DC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611" w:type="pct"/>
            <w:tcBorders>
              <w:top w:val="nil"/>
              <w:left w:val="nil"/>
              <w:bottom w:val="single" w:color="auto" w:sz="4" w:space="0"/>
              <w:right w:val="single" w:color="auto" w:sz="4" w:space="0"/>
            </w:tcBorders>
            <w:noWrap w:val="0"/>
            <w:vAlign w:val="center"/>
          </w:tcPr>
          <w:p w14:paraId="3CFD748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826" w:type="pct"/>
            <w:tcBorders>
              <w:top w:val="nil"/>
              <w:left w:val="nil"/>
              <w:bottom w:val="single" w:color="auto" w:sz="4" w:space="0"/>
              <w:right w:val="single" w:color="auto" w:sz="4" w:space="0"/>
            </w:tcBorders>
            <w:noWrap w:val="0"/>
            <w:vAlign w:val="center"/>
          </w:tcPr>
          <w:p w14:paraId="24B866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886" w:type="pct"/>
            <w:tcBorders>
              <w:top w:val="nil"/>
              <w:left w:val="nil"/>
              <w:bottom w:val="single" w:color="auto" w:sz="4" w:space="0"/>
              <w:right w:val="single" w:color="auto" w:sz="4" w:space="0"/>
            </w:tcBorders>
            <w:noWrap w:val="0"/>
            <w:vAlign w:val="center"/>
          </w:tcPr>
          <w:p w14:paraId="0D02815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生活型次干道或交通型主干道</w:t>
            </w:r>
          </w:p>
        </w:tc>
        <w:tc>
          <w:tcPr>
            <w:tcW w:w="886" w:type="pct"/>
            <w:tcBorders>
              <w:top w:val="nil"/>
              <w:left w:val="nil"/>
              <w:bottom w:val="single" w:color="auto" w:sz="4" w:space="0"/>
              <w:right w:val="single" w:color="auto" w:sz="4" w:space="0"/>
            </w:tcBorders>
            <w:noWrap w:val="0"/>
            <w:vAlign w:val="center"/>
          </w:tcPr>
          <w:p w14:paraId="01D8A30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11" w:type="pct"/>
            <w:tcBorders>
              <w:top w:val="nil"/>
              <w:left w:val="nil"/>
              <w:bottom w:val="single" w:color="auto" w:sz="4" w:space="0"/>
              <w:right w:val="single" w:color="auto" w:sz="4" w:space="0"/>
            </w:tcBorders>
            <w:noWrap w:val="0"/>
            <w:vAlign w:val="center"/>
          </w:tcPr>
          <w:p w14:paraId="70DEC4D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077B48CA">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71F5538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1AA79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611" w:type="pct"/>
            <w:tcBorders>
              <w:top w:val="nil"/>
              <w:left w:val="nil"/>
              <w:bottom w:val="single" w:color="auto" w:sz="4" w:space="0"/>
              <w:right w:val="single" w:color="auto" w:sz="4" w:space="0"/>
            </w:tcBorders>
            <w:noWrap w:val="0"/>
            <w:vAlign w:val="center"/>
          </w:tcPr>
          <w:p w14:paraId="7FC4CC1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826" w:type="pct"/>
            <w:tcBorders>
              <w:top w:val="nil"/>
              <w:left w:val="nil"/>
              <w:bottom w:val="single" w:color="auto" w:sz="4" w:space="0"/>
              <w:right w:val="single" w:color="auto" w:sz="4" w:space="0"/>
            </w:tcBorders>
            <w:noWrap w:val="0"/>
            <w:vAlign w:val="center"/>
          </w:tcPr>
          <w:p w14:paraId="666EB1F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886" w:type="pct"/>
            <w:tcBorders>
              <w:top w:val="nil"/>
              <w:left w:val="nil"/>
              <w:bottom w:val="single" w:color="auto" w:sz="4" w:space="0"/>
              <w:right w:val="single" w:color="auto" w:sz="4" w:space="0"/>
            </w:tcBorders>
            <w:noWrap w:val="0"/>
            <w:vAlign w:val="center"/>
          </w:tcPr>
          <w:p w14:paraId="7A489BD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886" w:type="pct"/>
            <w:tcBorders>
              <w:top w:val="nil"/>
              <w:left w:val="nil"/>
              <w:bottom w:val="single" w:color="auto" w:sz="4" w:space="0"/>
              <w:right w:val="single" w:color="auto" w:sz="4" w:space="0"/>
            </w:tcBorders>
            <w:noWrap w:val="0"/>
            <w:vAlign w:val="center"/>
          </w:tcPr>
          <w:p w14:paraId="2E5E8F9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11" w:type="pct"/>
            <w:tcBorders>
              <w:top w:val="nil"/>
              <w:left w:val="nil"/>
              <w:bottom w:val="single" w:color="auto" w:sz="4" w:space="0"/>
              <w:right w:val="single" w:color="auto" w:sz="4" w:space="0"/>
            </w:tcBorders>
            <w:noWrap w:val="0"/>
            <w:vAlign w:val="center"/>
          </w:tcPr>
          <w:p w14:paraId="071B73B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09773BE7">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5CA76CF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00E4CB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611" w:type="pct"/>
            <w:tcBorders>
              <w:top w:val="nil"/>
              <w:left w:val="nil"/>
              <w:bottom w:val="single" w:color="auto" w:sz="4" w:space="0"/>
              <w:right w:val="single" w:color="auto" w:sz="4" w:space="0"/>
            </w:tcBorders>
            <w:noWrap w:val="0"/>
            <w:vAlign w:val="center"/>
          </w:tcPr>
          <w:p w14:paraId="4A2C23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826" w:type="pct"/>
            <w:tcBorders>
              <w:top w:val="nil"/>
              <w:left w:val="nil"/>
              <w:bottom w:val="single" w:color="auto" w:sz="4" w:space="0"/>
              <w:right w:val="single" w:color="auto" w:sz="4" w:space="0"/>
            </w:tcBorders>
            <w:noWrap w:val="0"/>
            <w:vAlign w:val="center"/>
          </w:tcPr>
          <w:p w14:paraId="74F31A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886" w:type="pct"/>
            <w:tcBorders>
              <w:top w:val="nil"/>
              <w:left w:val="nil"/>
              <w:bottom w:val="single" w:color="auto" w:sz="4" w:space="0"/>
              <w:right w:val="single" w:color="auto" w:sz="4" w:space="0"/>
            </w:tcBorders>
            <w:noWrap w:val="0"/>
            <w:vAlign w:val="center"/>
          </w:tcPr>
          <w:p w14:paraId="7027030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886" w:type="pct"/>
            <w:tcBorders>
              <w:top w:val="nil"/>
              <w:left w:val="nil"/>
              <w:bottom w:val="single" w:color="auto" w:sz="4" w:space="0"/>
              <w:right w:val="single" w:color="auto" w:sz="4" w:space="0"/>
            </w:tcBorders>
            <w:noWrap w:val="0"/>
            <w:vAlign w:val="center"/>
          </w:tcPr>
          <w:p w14:paraId="368A4C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611" w:type="pct"/>
            <w:tcBorders>
              <w:top w:val="nil"/>
              <w:left w:val="nil"/>
              <w:bottom w:val="single" w:color="auto" w:sz="4" w:space="0"/>
              <w:right w:val="single" w:color="auto" w:sz="4" w:space="0"/>
            </w:tcBorders>
            <w:noWrap w:val="0"/>
            <w:vAlign w:val="center"/>
          </w:tcPr>
          <w:p w14:paraId="6F65C6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0205A132">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4713C1C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18D7D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611" w:type="pct"/>
            <w:tcBorders>
              <w:top w:val="nil"/>
              <w:left w:val="nil"/>
              <w:bottom w:val="single" w:color="auto" w:sz="4" w:space="0"/>
              <w:right w:val="single" w:color="auto" w:sz="4" w:space="0"/>
            </w:tcBorders>
            <w:noWrap w:val="0"/>
            <w:vAlign w:val="center"/>
          </w:tcPr>
          <w:p w14:paraId="77158AE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826" w:type="pct"/>
            <w:tcBorders>
              <w:top w:val="nil"/>
              <w:left w:val="nil"/>
              <w:bottom w:val="single" w:color="auto" w:sz="4" w:space="0"/>
              <w:right w:val="single" w:color="auto" w:sz="4" w:space="0"/>
            </w:tcBorders>
            <w:noWrap w:val="0"/>
            <w:vAlign w:val="center"/>
          </w:tcPr>
          <w:p w14:paraId="0392C7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886" w:type="pct"/>
            <w:tcBorders>
              <w:top w:val="nil"/>
              <w:left w:val="nil"/>
              <w:bottom w:val="single" w:color="auto" w:sz="4" w:space="0"/>
              <w:right w:val="single" w:color="auto" w:sz="4" w:space="0"/>
            </w:tcBorders>
            <w:noWrap w:val="0"/>
            <w:vAlign w:val="center"/>
          </w:tcPr>
          <w:p w14:paraId="6AE61F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886" w:type="pct"/>
            <w:tcBorders>
              <w:top w:val="nil"/>
              <w:left w:val="nil"/>
              <w:bottom w:val="single" w:color="auto" w:sz="4" w:space="0"/>
              <w:right w:val="single" w:color="auto" w:sz="4" w:space="0"/>
            </w:tcBorders>
            <w:noWrap w:val="0"/>
            <w:vAlign w:val="center"/>
          </w:tcPr>
          <w:p w14:paraId="4E41C8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11" w:type="pct"/>
            <w:tcBorders>
              <w:top w:val="nil"/>
              <w:left w:val="nil"/>
              <w:bottom w:val="single" w:color="auto" w:sz="4" w:space="0"/>
              <w:right w:val="single" w:color="auto" w:sz="4" w:space="0"/>
            </w:tcBorders>
            <w:noWrap w:val="0"/>
            <w:vAlign w:val="center"/>
          </w:tcPr>
          <w:p w14:paraId="1E6199D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2E789074">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3EADBC2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03BA2B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611" w:type="pct"/>
            <w:tcBorders>
              <w:top w:val="nil"/>
              <w:left w:val="nil"/>
              <w:bottom w:val="single" w:color="auto" w:sz="4" w:space="0"/>
              <w:right w:val="single" w:color="auto" w:sz="4" w:space="0"/>
            </w:tcBorders>
            <w:noWrap w:val="0"/>
            <w:vAlign w:val="center"/>
          </w:tcPr>
          <w:p w14:paraId="752E8CD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826" w:type="pct"/>
            <w:tcBorders>
              <w:top w:val="nil"/>
              <w:left w:val="nil"/>
              <w:bottom w:val="single" w:color="auto" w:sz="4" w:space="0"/>
              <w:right w:val="single" w:color="auto" w:sz="4" w:space="0"/>
            </w:tcBorders>
            <w:noWrap w:val="0"/>
            <w:vAlign w:val="center"/>
          </w:tcPr>
          <w:p w14:paraId="2CB6006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886" w:type="pct"/>
            <w:tcBorders>
              <w:top w:val="nil"/>
              <w:left w:val="nil"/>
              <w:bottom w:val="single" w:color="auto" w:sz="4" w:space="0"/>
              <w:right w:val="single" w:color="auto" w:sz="4" w:space="0"/>
            </w:tcBorders>
            <w:noWrap w:val="0"/>
            <w:vAlign w:val="center"/>
          </w:tcPr>
          <w:p w14:paraId="778AA40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886" w:type="pct"/>
            <w:tcBorders>
              <w:top w:val="nil"/>
              <w:left w:val="nil"/>
              <w:bottom w:val="single" w:color="auto" w:sz="4" w:space="0"/>
              <w:right w:val="single" w:color="auto" w:sz="4" w:space="0"/>
            </w:tcBorders>
            <w:noWrap w:val="0"/>
            <w:vAlign w:val="center"/>
          </w:tcPr>
          <w:p w14:paraId="3C694E9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11" w:type="pct"/>
            <w:tcBorders>
              <w:top w:val="nil"/>
              <w:left w:val="nil"/>
              <w:bottom w:val="single" w:color="auto" w:sz="4" w:space="0"/>
              <w:right w:val="single" w:color="auto" w:sz="4" w:space="0"/>
            </w:tcBorders>
            <w:noWrap w:val="0"/>
            <w:vAlign w:val="center"/>
          </w:tcPr>
          <w:p w14:paraId="4A26830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0F630448">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7682590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385FDB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611" w:type="pct"/>
            <w:tcBorders>
              <w:top w:val="nil"/>
              <w:left w:val="nil"/>
              <w:bottom w:val="single" w:color="auto" w:sz="4" w:space="0"/>
              <w:right w:val="single" w:color="auto" w:sz="4" w:space="0"/>
            </w:tcBorders>
            <w:noWrap w:val="0"/>
            <w:vAlign w:val="center"/>
          </w:tcPr>
          <w:p w14:paraId="442C954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p>
        </w:tc>
        <w:tc>
          <w:tcPr>
            <w:tcW w:w="826" w:type="pct"/>
            <w:tcBorders>
              <w:top w:val="nil"/>
              <w:left w:val="nil"/>
              <w:bottom w:val="single" w:color="auto" w:sz="4" w:space="0"/>
              <w:right w:val="single" w:color="auto" w:sz="4" w:space="0"/>
            </w:tcBorders>
            <w:noWrap w:val="0"/>
            <w:vAlign w:val="center"/>
          </w:tcPr>
          <w:p w14:paraId="3FEE990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r>
              <w:rPr>
                <w:rFonts w:hint="eastAsia" w:ascii="Times New Roman" w:hAnsi="Times New Roman" w:eastAsia="仿宋" w:cs="仿宋"/>
                <w:b w:val="0"/>
                <w:bCs w:val="0"/>
                <w:caps w:val="0"/>
                <w:smallCaps w:val="0"/>
                <w:color w:val="auto"/>
                <w:sz w:val="21"/>
                <w:szCs w:val="21"/>
                <w:highlight w:val="none"/>
                <w:lang w:eastAsia="zh-CN"/>
              </w:rPr>
              <w:t>）</w:t>
            </w:r>
          </w:p>
        </w:tc>
        <w:tc>
          <w:tcPr>
            <w:tcW w:w="886" w:type="pct"/>
            <w:tcBorders>
              <w:top w:val="nil"/>
              <w:left w:val="nil"/>
              <w:bottom w:val="single" w:color="auto" w:sz="4" w:space="0"/>
              <w:right w:val="single" w:color="auto" w:sz="4" w:space="0"/>
            </w:tcBorders>
            <w:noWrap w:val="0"/>
            <w:vAlign w:val="center"/>
          </w:tcPr>
          <w:p w14:paraId="4CD6A4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p>
        </w:tc>
        <w:tc>
          <w:tcPr>
            <w:tcW w:w="886" w:type="pct"/>
            <w:tcBorders>
              <w:top w:val="nil"/>
              <w:left w:val="nil"/>
              <w:bottom w:val="single" w:color="auto" w:sz="4" w:space="0"/>
              <w:right w:val="single" w:color="auto" w:sz="4" w:space="0"/>
            </w:tcBorders>
            <w:noWrap w:val="0"/>
            <w:vAlign w:val="center"/>
          </w:tcPr>
          <w:p w14:paraId="6B6B006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p>
        </w:tc>
        <w:tc>
          <w:tcPr>
            <w:tcW w:w="611" w:type="pct"/>
            <w:tcBorders>
              <w:top w:val="nil"/>
              <w:left w:val="nil"/>
              <w:bottom w:val="single" w:color="auto" w:sz="4" w:space="0"/>
              <w:right w:val="single" w:color="auto" w:sz="4" w:space="0"/>
            </w:tcBorders>
            <w:noWrap w:val="0"/>
            <w:vAlign w:val="center"/>
          </w:tcPr>
          <w:p w14:paraId="59A07E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p>
        </w:tc>
      </w:tr>
      <w:tr w14:paraId="3D96D1F0">
        <w:tblPrEx>
          <w:tblCellMar>
            <w:top w:w="0" w:type="dxa"/>
            <w:left w:w="108" w:type="dxa"/>
            <w:bottom w:w="0" w:type="dxa"/>
            <w:right w:w="108" w:type="dxa"/>
          </w:tblCellMar>
        </w:tblPrEx>
        <w:trPr>
          <w:trHeight w:val="355" w:hRule="atLeast"/>
          <w:jc w:val="center"/>
        </w:trPr>
        <w:tc>
          <w:tcPr>
            <w:tcW w:w="294" w:type="pct"/>
            <w:vMerge w:val="continue"/>
            <w:tcBorders>
              <w:left w:val="single" w:color="auto" w:sz="4" w:space="0"/>
              <w:right w:val="single" w:color="auto" w:sz="4" w:space="0"/>
            </w:tcBorders>
            <w:noWrap w:val="0"/>
            <w:vAlign w:val="center"/>
          </w:tcPr>
          <w:p w14:paraId="092D2A5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884" w:type="pct"/>
            <w:tcBorders>
              <w:top w:val="nil"/>
              <w:left w:val="nil"/>
              <w:bottom w:val="single" w:color="auto" w:sz="4" w:space="0"/>
              <w:right w:val="single" w:color="auto" w:sz="4" w:space="0"/>
            </w:tcBorders>
            <w:noWrap w:val="0"/>
            <w:vAlign w:val="center"/>
          </w:tcPr>
          <w:p w14:paraId="1D6DA4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银行</w:t>
            </w:r>
            <w:r>
              <w:rPr>
                <w:rFonts w:hint="eastAsia" w:ascii="Times New Roman" w:hAnsi="Times New Roman" w:eastAsia="仿宋" w:cs="仿宋"/>
                <w:b w:val="0"/>
                <w:bCs w:val="0"/>
                <w:caps w:val="0"/>
                <w:smallCaps w:val="0"/>
                <w:color w:val="auto"/>
                <w:sz w:val="21"/>
                <w:szCs w:val="21"/>
                <w:highlight w:val="none"/>
              </w:rPr>
              <w:t>距离（米）</w:t>
            </w:r>
          </w:p>
        </w:tc>
        <w:tc>
          <w:tcPr>
            <w:tcW w:w="611" w:type="pct"/>
            <w:tcBorders>
              <w:top w:val="nil"/>
              <w:left w:val="nil"/>
              <w:bottom w:val="single" w:color="auto" w:sz="4" w:space="0"/>
              <w:right w:val="single" w:color="auto" w:sz="4" w:space="0"/>
            </w:tcBorders>
            <w:noWrap w:val="0"/>
            <w:vAlign w:val="center"/>
          </w:tcPr>
          <w:p w14:paraId="14E60D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826" w:type="pct"/>
            <w:tcBorders>
              <w:top w:val="nil"/>
              <w:left w:val="nil"/>
              <w:bottom w:val="single" w:color="auto" w:sz="4" w:space="0"/>
              <w:right w:val="single" w:color="auto" w:sz="4" w:space="0"/>
            </w:tcBorders>
            <w:noWrap w:val="0"/>
            <w:vAlign w:val="center"/>
          </w:tcPr>
          <w:p w14:paraId="33E2BF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886" w:type="pct"/>
            <w:tcBorders>
              <w:top w:val="nil"/>
              <w:left w:val="nil"/>
              <w:bottom w:val="single" w:color="auto" w:sz="4" w:space="0"/>
              <w:right w:val="single" w:color="auto" w:sz="4" w:space="0"/>
            </w:tcBorders>
            <w:noWrap w:val="0"/>
            <w:vAlign w:val="center"/>
          </w:tcPr>
          <w:p w14:paraId="7E93D0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886" w:type="pct"/>
            <w:tcBorders>
              <w:top w:val="nil"/>
              <w:left w:val="nil"/>
              <w:bottom w:val="single" w:color="auto" w:sz="4" w:space="0"/>
              <w:right w:val="single" w:color="auto" w:sz="4" w:space="0"/>
            </w:tcBorders>
            <w:noWrap w:val="0"/>
            <w:vAlign w:val="center"/>
          </w:tcPr>
          <w:p w14:paraId="52D606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700—1000]</w:t>
            </w:r>
          </w:p>
        </w:tc>
        <w:tc>
          <w:tcPr>
            <w:tcW w:w="611" w:type="pct"/>
            <w:tcBorders>
              <w:top w:val="nil"/>
              <w:left w:val="nil"/>
              <w:bottom w:val="single" w:color="auto" w:sz="4" w:space="0"/>
              <w:right w:val="single" w:color="auto" w:sz="4" w:space="0"/>
            </w:tcBorders>
            <w:noWrap w:val="0"/>
            <w:vAlign w:val="center"/>
          </w:tcPr>
          <w:p w14:paraId="1894BA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&gt;1000</w:t>
            </w:r>
          </w:p>
        </w:tc>
      </w:tr>
      <w:tr w14:paraId="7AC0DB72">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2DDB009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184DB2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学校</w:t>
            </w:r>
            <w:r>
              <w:rPr>
                <w:rFonts w:hint="eastAsia" w:ascii="Times New Roman" w:hAnsi="Times New Roman" w:eastAsia="仿宋" w:cs="仿宋"/>
                <w:b w:val="0"/>
                <w:bCs w:val="0"/>
                <w:caps w:val="0"/>
                <w:smallCaps w:val="0"/>
                <w:color w:val="auto"/>
                <w:sz w:val="21"/>
                <w:szCs w:val="21"/>
                <w:highlight w:val="none"/>
              </w:rPr>
              <w:t>距离（米）</w:t>
            </w:r>
          </w:p>
        </w:tc>
        <w:tc>
          <w:tcPr>
            <w:tcW w:w="611" w:type="pct"/>
            <w:tcBorders>
              <w:top w:val="nil"/>
              <w:left w:val="nil"/>
              <w:bottom w:val="single" w:color="auto" w:sz="4" w:space="0"/>
              <w:right w:val="single" w:color="auto" w:sz="4" w:space="0"/>
            </w:tcBorders>
            <w:noWrap w:val="0"/>
            <w:vAlign w:val="center"/>
          </w:tcPr>
          <w:p w14:paraId="2D260C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≤500</w:t>
            </w:r>
          </w:p>
        </w:tc>
        <w:tc>
          <w:tcPr>
            <w:tcW w:w="826" w:type="pct"/>
            <w:tcBorders>
              <w:top w:val="nil"/>
              <w:left w:val="nil"/>
              <w:bottom w:val="single" w:color="auto" w:sz="4" w:space="0"/>
              <w:right w:val="single" w:color="auto" w:sz="4" w:space="0"/>
            </w:tcBorders>
            <w:noWrap w:val="0"/>
            <w:vAlign w:val="center"/>
          </w:tcPr>
          <w:p w14:paraId="62AC84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500—1000]</w:t>
            </w:r>
          </w:p>
        </w:tc>
        <w:tc>
          <w:tcPr>
            <w:tcW w:w="886" w:type="pct"/>
            <w:tcBorders>
              <w:top w:val="nil"/>
              <w:left w:val="nil"/>
              <w:bottom w:val="single" w:color="auto" w:sz="4" w:space="0"/>
              <w:right w:val="single" w:color="auto" w:sz="4" w:space="0"/>
            </w:tcBorders>
            <w:noWrap w:val="0"/>
            <w:vAlign w:val="center"/>
          </w:tcPr>
          <w:p w14:paraId="45E988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1000—1500]</w:t>
            </w:r>
          </w:p>
        </w:tc>
        <w:tc>
          <w:tcPr>
            <w:tcW w:w="886" w:type="pct"/>
            <w:tcBorders>
              <w:top w:val="nil"/>
              <w:left w:val="nil"/>
              <w:bottom w:val="single" w:color="auto" w:sz="4" w:space="0"/>
              <w:right w:val="single" w:color="auto" w:sz="4" w:space="0"/>
            </w:tcBorders>
            <w:noWrap w:val="0"/>
            <w:vAlign w:val="center"/>
          </w:tcPr>
          <w:p w14:paraId="330900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1500—2000]</w:t>
            </w:r>
          </w:p>
        </w:tc>
        <w:tc>
          <w:tcPr>
            <w:tcW w:w="611" w:type="pct"/>
            <w:tcBorders>
              <w:top w:val="nil"/>
              <w:left w:val="nil"/>
              <w:bottom w:val="single" w:color="auto" w:sz="4" w:space="0"/>
              <w:right w:val="single" w:color="auto" w:sz="4" w:space="0"/>
            </w:tcBorders>
            <w:noWrap w:val="0"/>
            <w:vAlign w:val="center"/>
          </w:tcPr>
          <w:p w14:paraId="1EF1E4B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&gt;2000</w:t>
            </w:r>
          </w:p>
        </w:tc>
      </w:tr>
      <w:tr w14:paraId="18D8051C">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bottom w:val="single" w:color="000000" w:sz="4" w:space="0"/>
              <w:right w:val="single" w:color="auto" w:sz="4" w:space="0"/>
            </w:tcBorders>
            <w:noWrap w:val="0"/>
            <w:vAlign w:val="center"/>
          </w:tcPr>
          <w:p w14:paraId="0B8C8BB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5B0136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距医院距离（米）</w:t>
            </w:r>
          </w:p>
        </w:tc>
        <w:tc>
          <w:tcPr>
            <w:tcW w:w="611" w:type="pct"/>
            <w:tcBorders>
              <w:top w:val="nil"/>
              <w:left w:val="nil"/>
              <w:bottom w:val="single" w:color="auto" w:sz="4" w:space="0"/>
              <w:right w:val="single" w:color="auto" w:sz="4" w:space="0"/>
            </w:tcBorders>
            <w:noWrap w:val="0"/>
            <w:vAlign w:val="center"/>
          </w:tcPr>
          <w:p w14:paraId="1E9FE5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≤500</w:t>
            </w:r>
          </w:p>
        </w:tc>
        <w:tc>
          <w:tcPr>
            <w:tcW w:w="826" w:type="pct"/>
            <w:tcBorders>
              <w:top w:val="nil"/>
              <w:left w:val="nil"/>
              <w:bottom w:val="single" w:color="auto" w:sz="4" w:space="0"/>
              <w:right w:val="single" w:color="auto" w:sz="4" w:space="0"/>
            </w:tcBorders>
            <w:noWrap w:val="0"/>
            <w:vAlign w:val="center"/>
          </w:tcPr>
          <w:p w14:paraId="4B4036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500—1000]</w:t>
            </w:r>
          </w:p>
        </w:tc>
        <w:tc>
          <w:tcPr>
            <w:tcW w:w="886" w:type="pct"/>
            <w:tcBorders>
              <w:top w:val="nil"/>
              <w:left w:val="nil"/>
              <w:bottom w:val="single" w:color="auto" w:sz="4" w:space="0"/>
              <w:right w:val="single" w:color="auto" w:sz="4" w:space="0"/>
            </w:tcBorders>
            <w:noWrap w:val="0"/>
            <w:vAlign w:val="center"/>
          </w:tcPr>
          <w:p w14:paraId="23D5D5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1000—1500]</w:t>
            </w:r>
          </w:p>
        </w:tc>
        <w:tc>
          <w:tcPr>
            <w:tcW w:w="886" w:type="pct"/>
            <w:tcBorders>
              <w:top w:val="nil"/>
              <w:left w:val="nil"/>
              <w:bottom w:val="single" w:color="auto" w:sz="4" w:space="0"/>
              <w:right w:val="single" w:color="auto" w:sz="4" w:space="0"/>
            </w:tcBorders>
            <w:noWrap w:val="0"/>
            <w:vAlign w:val="center"/>
          </w:tcPr>
          <w:p w14:paraId="7CB8563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1500—2000]</w:t>
            </w:r>
          </w:p>
        </w:tc>
        <w:tc>
          <w:tcPr>
            <w:tcW w:w="611" w:type="pct"/>
            <w:tcBorders>
              <w:top w:val="nil"/>
              <w:left w:val="nil"/>
              <w:bottom w:val="single" w:color="auto" w:sz="4" w:space="0"/>
              <w:right w:val="single" w:color="auto" w:sz="4" w:space="0"/>
            </w:tcBorders>
            <w:noWrap w:val="0"/>
            <w:vAlign w:val="center"/>
          </w:tcPr>
          <w:p w14:paraId="054F8D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&gt;2000</w:t>
            </w:r>
          </w:p>
        </w:tc>
      </w:tr>
      <w:tr w14:paraId="17974C12">
        <w:tblPrEx>
          <w:tblCellMar>
            <w:top w:w="0" w:type="dxa"/>
            <w:left w:w="108" w:type="dxa"/>
            <w:bottom w:w="0" w:type="dxa"/>
            <w:right w:w="108" w:type="dxa"/>
          </w:tblCellMar>
        </w:tblPrEx>
        <w:trPr>
          <w:trHeight w:val="255" w:hRule="atLeast"/>
          <w:jc w:val="center"/>
        </w:trPr>
        <w:tc>
          <w:tcPr>
            <w:tcW w:w="294" w:type="pct"/>
            <w:vMerge w:val="restart"/>
            <w:tcBorders>
              <w:top w:val="nil"/>
              <w:left w:val="single" w:color="auto" w:sz="4" w:space="0"/>
              <w:right w:val="single" w:color="auto" w:sz="4" w:space="0"/>
            </w:tcBorders>
            <w:noWrap w:val="0"/>
            <w:vAlign w:val="center"/>
          </w:tcPr>
          <w:p w14:paraId="7A9EB38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val="en-US" w:eastAsia="zh-CN"/>
              </w:rPr>
              <w:t>个别因素</w:t>
            </w:r>
          </w:p>
        </w:tc>
        <w:tc>
          <w:tcPr>
            <w:tcW w:w="884" w:type="pct"/>
            <w:tcBorders>
              <w:top w:val="nil"/>
              <w:left w:val="nil"/>
              <w:bottom w:val="single" w:color="auto" w:sz="4" w:space="0"/>
              <w:right w:val="single" w:color="auto" w:sz="4" w:space="0"/>
            </w:tcBorders>
            <w:noWrap w:val="0"/>
            <w:vAlign w:val="center"/>
          </w:tcPr>
          <w:p w14:paraId="02367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环境条件</w:t>
            </w:r>
          </w:p>
        </w:tc>
        <w:tc>
          <w:tcPr>
            <w:tcW w:w="611" w:type="pct"/>
            <w:tcBorders>
              <w:top w:val="nil"/>
              <w:left w:val="nil"/>
              <w:bottom w:val="single" w:color="auto" w:sz="4" w:space="0"/>
              <w:right w:val="single" w:color="auto" w:sz="4" w:space="0"/>
            </w:tcBorders>
            <w:noWrap w:val="0"/>
            <w:vAlign w:val="center"/>
          </w:tcPr>
          <w:p w14:paraId="6371E7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环境优良，无污染</w:t>
            </w:r>
          </w:p>
        </w:tc>
        <w:tc>
          <w:tcPr>
            <w:tcW w:w="826" w:type="pct"/>
            <w:tcBorders>
              <w:top w:val="nil"/>
              <w:left w:val="nil"/>
              <w:bottom w:val="single" w:color="auto" w:sz="4" w:space="0"/>
              <w:right w:val="single" w:color="auto" w:sz="4" w:space="0"/>
            </w:tcBorders>
            <w:noWrap w:val="0"/>
            <w:vAlign w:val="center"/>
          </w:tcPr>
          <w:p w14:paraId="4C92DB3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环境良好，基本无污染</w:t>
            </w:r>
          </w:p>
        </w:tc>
        <w:tc>
          <w:tcPr>
            <w:tcW w:w="886" w:type="pct"/>
            <w:tcBorders>
              <w:top w:val="nil"/>
              <w:left w:val="nil"/>
              <w:bottom w:val="single" w:color="auto" w:sz="4" w:space="0"/>
              <w:right w:val="single" w:color="auto" w:sz="4" w:space="0"/>
            </w:tcBorders>
            <w:noWrap w:val="0"/>
            <w:vAlign w:val="center"/>
          </w:tcPr>
          <w:p w14:paraId="190717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环境一般，轻度污染</w:t>
            </w:r>
          </w:p>
        </w:tc>
        <w:tc>
          <w:tcPr>
            <w:tcW w:w="886" w:type="pct"/>
            <w:tcBorders>
              <w:top w:val="nil"/>
              <w:left w:val="nil"/>
              <w:bottom w:val="single" w:color="auto" w:sz="4" w:space="0"/>
              <w:right w:val="single" w:color="auto" w:sz="4" w:space="0"/>
            </w:tcBorders>
            <w:noWrap w:val="0"/>
            <w:vAlign w:val="center"/>
          </w:tcPr>
          <w:p w14:paraId="75498A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环境较差，污染较重</w:t>
            </w:r>
          </w:p>
        </w:tc>
        <w:tc>
          <w:tcPr>
            <w:tcW w:w="611" w:type="pct"/>
            <w:tcBorders>
              <w:top w:val="nil"/>
              <w:left w:val="nil"/>
              <w:bottom w:val="single" w:color="auto" w:sz="4" w:space="0"/>
              <w:right w:val="single" w:color="auto" w:sz="4" w:space="0"/>
            </w:tcBorders>
            <w:noWrap w:val="0"/>
            <w:vAlign w:val="center"/>
          </w:tcPr>
          <w:p w14:paraId="3AE3F9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环境差，严重污染</w:t>
            </w:r>
          </w:p>
        </w:tc>
      </w:tr>
      <w:tr w14:paraId="7DA91D2B">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right w:val="single" w:color="auto" w:sz="4" w:space="0"/>
            </w:tcBorders>
            <w:noWrap w:val="0"/>
            <w:vAlign w:val="center"/>
          </w:tcPr>
          <w:p w14:paraId="6946BA2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178090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611" w:type="pct"/>
            <w:tcBorders>
              <w:top w:val="nil"/>
              <w:left w:val="nil"/>
              <w:bottom w:val="single" w:color="auto" w:sz="4" w:space="0"/>
              <w:right w:val="single" w:color="auto" w:sz="4" w:space="0"/>
            </w:tcBorders>
            <w:noWrap w:val="0"/>
            <w:vAlign w:val="center"/>
          </w:tcPr>
          <w:p w14:paraId="354003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面积适中，对土地利用有利</w:t>
            </w:r>
          </w:p>
        </w:tc>
        <w:tc>
          <w:tcPr>
            <w:tcW w:w="826" w:type="pct"/>
            <w:tcBorders>
              <w:top w:val="nil"/>
              <w:left w:val="nil"/>
              <w:bottom w:val="single" w:color="auto" w:sz="4" w:space="0"/>
              <w:right w:val="single" w:color="auto" w:sz="4" w:space="0"/>
            </w:tcBorders>
            <w:noWrap w:val="0"/>
            <w:vAlign w:val="center"/>
          </w:tcPr>
          <w:p w14:paraId="22A4EA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面积对土地利用较为有利</w:t>
            </w:r>
          </w:p>
        </w:tc>
        <w:tc>
          <w:tcPr>
            <w:tcW w:w="886" w:type="pct"/>
            <w:tcBorders>
              <w:top w:val="nil"/>
              <w:left w:val="nil"/>
              <w:bottom w:val="single" w:color="auto" w:sz="4" w:space="0"/>
              <w:right w:val="single" w:color="auto" w:sz="4" w:space="0"/>
            </w:tcBorders>
            <w:noWrap w:val="0"/>
            <w:vAlign w:val="center"/>
          </w:tcPr>
          <w:p w14:paraId="4AA523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面积对土地利用无不良影响</w:t>
            </w:r>
          </w:p>
        </w:tc>
        <w:tc>
          <w:tcPr>
            <w:tcW w:w="886" w:type="pct"/>
            <w:tcBorders>
              <w:top w:val="nil"/>
              <w:left w:val="nil"/>
              <w:bottom w:val="single" w:color="auto" w:sz="4" w:space="0"/>
              <w:right w:val="single" w:color="auto" w:sz="4" w:space="0"/>
            </w:tcBorders>
            <w:noWrap w:val="0"/>
            <w:vAlign w:val="center"/>
          </w:tcPr>
          <w:p w14:paraId="6BFAAF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面积较小，对土地利用有一定影响</w:t>
            </w:r>
          </w:p>
        </w:tc>
        <w:tc>
          <w:tcPr>
            <w:tcW w:w="611" w:type="pct"/>
            <w:tcBorders>
              <w:top w:val="nil"/>
              <w:left w:val="nil"/>
              <w:bottom w:val="single" w:color="auto" w:sz="4" w:space="0"/>
              <w:right w:val="single" w:color="auto" w:sz="4" w:space="0"/>
            </w:tcBorders>
            <w:noWrap w:val="0"/>
            <w:vAlign w:val="center"/>
          </w:tcPr>
          <w:p w14:paraId="523BD8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面积过小，对土地利用产生不利影响</w:t>
            </w:r>
          </w:p>
        </w:tc>
      </w:tr>
      <w:tr w14:paraId="4DE87598">
        <w:tblPrEx>
          <w:tblCellMar>
            <w:top w:w="0" w:type="dxa"/>
            <w:left w:w="108" w:type="dxa"/>
            <w:bottom w:w="0" w:type="dxa"/>
            <w:right w:w="108" w:type="dxa"/>
          </w:tblCellMar>
        </w:tblPrEx>
        <w:trPr>
          <w:trHeight w:val="255" w:hRule="atLeast"/>
          <w:jc w:val="center"/>
        </w:trPr>
        <w:tc>
          <w:tcPr>
            <w:tcW w:w="294" w:type="pct"/>
            <w:vMerge w:val="continue"/>
            <w:tcBorders>
              <w:left w:val="single" w:color="auto" w:sz="4" w:space="0"/>
              <w:bottom w:val="single" w:color="000000" w:sz="4" w:space="0"/>
              <w:right w:val="single" w:color="auto" w:sz="4" w:space="0"/>
            </w:tcBorders>
            <w:noWrap w:val="0"/>
            <w:vAlign w:val="center"/>
          </w:tcPr>
          <w:p w14:paraId="5EAD9A1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884" w:type="pct"/>
            <w:tcBorders>
              <w:top w:val="nil"/>
              <w:left w:val="nil"/>
              <w:bottom w:val="single" w:color="auto" w:sz="4" w:space="0"/>
              <w:right w:val="single" w:color="auto" w:sz="4" w:space="0"/>
            </w:tcBorders>
            <w:noWrap w:val="0"/>
            <w:vAlign w:val="center"/>
          </w:tcPr>
          <w:p w14:paraId="57BBAE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611" w:type="pct"/>
            <w:tcBorders>
              <w:top w:val="nil"/>
              <w:left w:val="nil"/>
              <w:bottom w:val="single" w:color="auto" w:sz="4" w:space="0"/>
              <w:right w:val="single" w:color="auto" w:sz="4" w:space="0"/>
            </w:tcBorders>
            <w:noWrap w:val="0"/>
            <w:vAlign w:val="center"/>
          </w:tcPr>
          <w:p w14:paraId="3F5830B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宗地形状规则，利于土地利用</w:t>
            </w:r>
          </w:p>
        </w:tc>
        <w:tc>
          <w:tcPr>
            <w:tcW w:w="826" w:type="pct"/>
            <w:tcBorders>
              <w:top w:val="nil"/>
              <w:left w:val="nil"/>
              <w:bottom w:val="single" w:color="auto" w:sz="4" w:space="0"/>
              <w:right w:val="single" w:color="auto" w:sz="4" w:space="0"/>
            </w:tcBorders>
            <w:noWrap w:val="0"/>
            <w:vAlign w:val="center"/>
          </w:tcPr>
          <w:p w14:paraId="5C3C717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宗地形状较规则，较利于土地利用</w:t>
            </w:r>
          </w:p>
        </w:tc>
        <w:tc>
          <w:tcPr>
            <w:tcW w:w="886" w:type="pct"/>
            <w:tcBorders>
              <w:top w:val="nil"/>
              <w:left w:val="nil"/>
              <w:bottom w:val="single" w:color="auto" w:sz="4" w:space="0"/>
              <w:right w:val="single" w:color="auto" w:sz="4" w:space="0"/>
            </w:tcBorders>
            <w:noWrap w:val="0"/>
            <w:vAlign w:val="center"/>
          </w:tcPr>
          <w:p w14:paraId="54F48B9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宗地形状一般，利于土地利用无影响</w:t>
            </w:r>
          </w:p>
        </w:tc>
        <w:tc>
          <w:tcPr>
            <w:tcW w:w="886" w:type="pct"/>
            <w:tcBorders>
              <w:top w:val="nil"/>
              <w:left w:val="nil"/>
              <w:bottom w:val="single" w:color="auto" w:sz="4" w:space="0"/>
              <w:right w:val="single" w:color="auto" w:sz="4" w:space="0"/>
            </w:tcBorders>
            <w:noWrap w:val="0"/>
            <w:vAlign w:val="center"/>
          </w:tcPr>
          <w:p w14:paraId="0C4B324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宗地形状较不规则，对土地利用有一定影响</w:t>
            </w:r>
          </w:p>
        </w:tc>
        <w:tc>
          <w:tcPr>
            <w:tcW w:w="611" w:type="pct"/>
            <w:tcBorders>
              <w:top w:val="nil"/>
              <w:left w:val="nil"/>
              <w:bottom w:val="single" w:color="auto" w:sz="4" w:space="0"/>
              <w:right w:val="single" w:color="auto" w:sz="4" w:space="0"/>
            </w:tcBorders>
            <w:noWrap w:val="0"/>
            <w:vAlign w:val="center"/>
          </w:tcPr>
          <w:p w14:paraId="123220D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宗地形状不规则，不利于土地利用</w:t>
            </w:r>
          </w:p>
        </w:tc>
      </w:tr>
    </w:tbl>
    <w:p w14:paraId="50305208">
      <w:pPr>
        <w:rPr>
          <w:rFonts w:hint="eastAsia" w:ascii="Times New Roman" w:hAnsi="Times New Roman" w:eastAsia="仿宋" w:cs="仿宋"/>
          <w:b w:val="0"/>
          <w:bCs/>
          <w:caps w:val="0"/>
          <w:smallCaps w:val="0"/>
          <w:color w:val="auto"/>
          <w:sz w:val="28"/>
          <w:szCs w:val="28"/>
          <w:highlight w:val="none"/>
        </w:rPr>
      </w:pPr>
      <w:r>
        <w:rPr>
          <w:rFonts w:hint="eastAsia" w:ascii="Times New Roman" w:hAnsi="Times New Roman" w:eastAsia="仿宋" w:cs="仿宋"/>
          <w:b w:val="0"/>
          <w:bCs/>
          <w:caps w:val="0"/>
          <w:smallCaps w:val="0"/>
          <w:color w:val="auto"/>
          <w:sz w:val="28"/>
          <w:szCs w:val="28"/>
          <w:highlight w:val="none"/>
        </w:rPr>
        <w:br w:type="page"/>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1"/>
        <w:gridCol w:w="1221"/>
        <w:gridCol w:w="1222"/>
        <w:gridCol w:w="1222"/>
        <w:gridCol w:w="1215"/>
        <w:gridCol w:w="1297"/>
        <w:gridCol w:w="1321"/>
      </w:tblGrid>
      <w:tr w14:paraId="33568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5000" w:type="pct"/>
            <w:gridSpan w:val="7"/>
            <w:tcBorders>
              <w:top w:val="nil"/>
              <w:left w:val="nil"/>
              <w:bottom w:val="nil"/>
              <w:right w:val="nil"/>
            </w:tcBorders>
            <w:shd w:val="clear" w:color="auto" w:fill="auto"/>
            <w:noWrap/>
            <w:vAlign w:val="center"/>
          </w:tcPr>
          <w:p w14:paraId="79270A46">
            <w:pPr>
              <w:jc w:val="center"/>
              <w:rPr>
                <w:rFonts w:hint="eastAsia" w:ascii="Times New Roman" w:hAnsi="Times New Roman" w:eastAsia="仿宋" w:cs="仿宋"/>
                <w:i w:val="0"/>
                <w:iCs w:val="0"/>
                <w:caps w:val="0"/>
                <w:smallCaps w:val="0"/>
                <w:color w:val="auto"/>
                <w:sz w:val="24"/>
                <w:szCs w:val="24"/>
                <w:highlight w:val="none"/>
                <w:u w:val="none"/>
              </w:rPr>
            </w:pPr>
            <w:r>
              <w:rPr>
                <w:rFonts w:hint="eastAsia" w:ascii="Times New Roman" w:hAnsi="Times New Roman" w:eastAsia="仿宋" w:cs="仿宋"/>
                <w:b w:val="0"/>
                <w:bCs/>
                <w:caps w:val="0"/>
                <w:smallCaps w:val="0"/>
                <w:color w:val="auto"/>
                <w:sz w:val="24"/>
                <w:szCs w:val="24"/>
                <w:highlight w:val="none"/>
              </w:rPr>
              <w:br w:type="page"/>
            </w:r>
            <w:bookmarkStart w:id="39" w:name="_Toc31381"/>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 xml:space="preserve">2-10 </w:t>
            </w:r>
            <w:r>
              <w:rPr>
                <w:rFonts w:hint="eastAsia" w:ascii="Times New Roman" w:hAnsi="Times New Roman" w:eastAsia="仿宋" w:cs="仿宋"/>
                <w:b/>
                <w:caps w:val="0"/>
                <w:smallCaps w:val="0"/>
                <w:color w:val="auto"/>
                <w:sz w:val="24"/>
                <w:szCs w:val="24"/>
                <w:highlight w:val="none"/>
              </w:rPr>
              <w:t xml:space="preserve"> </w:t>
            </w:r>
            <w:r>
              <w:rPr>
                <w:rFonts w:hint="eastAsia" w:ascii="Times New Roman" w:hAnsi="Times New Roman" w:eastAsia="仿宋" w:cs="仿宋"/>
                <w:b/>
                <w:caps w:val="0"/>
                <w:smallCaps w:val="0"/>
                <w:color w:val="auto"/>
                <w:sz w:val="24"/>
                <w:szCs w:val="24"/>
                <w:highlight w:val="none"/>
                <w:lang w:val="en-US" w:eastAsia="zh-CN"/>
              </w:rPr>
              <w:t>Ⅱ级居住用地地价地价影响因素指标说明表</w:t>
            </w:r>
            <w:bookmarkEnd w:id="39"/>
          </w:p>
        </w:tc>
      </w:tr>
      <w:tr w14:paraId="4ACA6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46A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D3C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5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2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35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78C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5F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4E228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44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0B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A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0.0246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5D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0.0123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9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0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-0.0082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46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-0.0164 </w:t>
            </w:r>
          </w:p>
        </w:tc>
      </w:tr>
      <w:tr w14:paraId="13E7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A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23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A0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F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1A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0F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-0.0063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E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-0.0126 </w:t>
            </w:r>
          </w:p>
        </w:tc>
      </w:tr>
      <w:tr w14:paraId="639A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5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F7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7E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D6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C0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03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-0.0063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25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-0.0126 </w:t>
            </w:r>
          </w:p>
        </w:tc>
      </w:tr>
      <w:tr w14:paraId="33114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2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5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A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D7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48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9BD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2E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-0.0101 </w:t>
            </w:r>
          </w:p>
        </w:tc>
      </w:tr>
      <w:tr w14:paraId="39BB3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8E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A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5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D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E1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D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9F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2DB07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9D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1F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7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D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49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C6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A2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5AFB4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4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8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8C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24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7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0B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3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07542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23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距银行距离</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5D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16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E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07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8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51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3CA8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C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距学校距离</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6B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D6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A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91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C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3C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5DE7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8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距医院距离</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6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1F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B2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C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96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BB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29B49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85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环境条件</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39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63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DF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D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3E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7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0B0EF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D5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0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E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C6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BB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B9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51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24B6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D5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C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8F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FF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C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84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3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bl>
    <w:p w14:paraId="4BE3DBC1">
      <w:pPr>
        <w:keepNext w:val="0"/>
        <w:keepLines w:val="0"/>
        <w:pageBreakBefore w:val="0"/>
        <w:widowControl/>
        <w:kinsoku/>
        <w:wordWrap/>
        <w:overflowPunct/>
        <w:topLinePunct w:val="0"/>
        <w:autoSpaceDE/>
        <w:autoSpaceDN/>
        <w:bidi w:val="0"/>
        <w:adjustRightInd w:val="0"/>
        <w:snapToGrid w:val="0"/>
        <w:spacing w:before="136" w:beforeLines="50" w:line="360" w:lineRule="auto"/>
        <w:ind w:firstLine="560" w:firstLineChars="200"/>
        <w:textAlignment w:val="auto"/>
        <w:outlineLvl w:val="9"/>
        <w:rPr>
          <w:rFonts w:hint="eastAsia" w:ascii="Times New Roman" w:hAnsi="Times New Roman" w:eastAsia="仿宋" w:cs="仿宋"/>
          <w:b w:val="0"/>
          <w:bCs/>
          <w:caps w:val="0"/>
          <w:smallCaps w:val="0"/>
          <w:color w:val="auto"/>
          <w:sz w:val="28"/>
          <w:szCs w:val="28"/>
          <w:highlight w:val="none"/>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6DB07992">
      <w:pPr>
        <w:keepNext w:val="0"/>
        <w:keepLines w:val="0"/>
        <w:pageBreakBefore w:val="0"/>
        <w:widowControl/>
        <w:kinsoku/>
        <w:wordWrap/>
        <w:overflowPunct/>
        <w:topLinePunct w:val="0"/>
        <w:autoSpaceDE/>
        <w:autoSpaceDN/>
        <w:bidi w:val="0"/>
        <w:adjustRightInd w:val="0"/>
        <w:snapToGrid w:val="0"/>
        <w:spacing w:before="136" w:beforeLines="50" w:line="360" w:lineRule="auto"/>
        <w:ind w:firstLine="560" w:firstLineChars="200"/>
        <w:textAlignment w:val="auto"/>
        <w:outlineLvl w:val="9"/>
        <w:rPr>
          <w:rFonts w:hint="eastAsia" w:ascii="Times New Roman" w:hAnsi="Times New Roman" w:eastAsia="仿宋" w:cs="仿宋"/>
          <w:b w:val="0"/>
          <w:bCs/>
          <w:caps w:val="0"/>
          <w:smallCaps w:val="0"/>
          <w:color w:val="auto"/>
          <w:sz w:val="28"/>
          <w:szCs w:val="28"/>
          <w:highlight w:val="none"/>
        </w:rPr>
      </w:pPr>
      <w:r>
        <w:rPr>
          <w:rFonts w:hint="eastAsia" w:ascii="Times New Roman" w:hAnsi="Times New Roman" w:eastAsia="仿宋" w:cs="仿宋"/>
          <w:b w:val="0"/>
          <w:bCs/>
          <w:caps w:val="0"/>
          <w:smallCaps w:val="0"/>
          <w:color w:val="auto"/>
          <w:sz w:val="28"/>
          <w:szCs w:val="28"/>
          <w:highlight w:val="none"/>
        </w:rPr>
        <w:t>（</w:t>
      </w:r>
      <w:r>
        <w:rPr>
          <w:rFonts w:hint="eastAsia" w:ascii="Times New Roman" w:hAnsi="Times New Roman" w:eastAsia="仿宋" w:cs="仿宋"/>
          <w:b w:val="0"/>
          <w:bCs/>
          <w:caps w:val="0"/>
          <w:smallCaps w:val="0"/>
          <w:color w:val="auto"/>
          <w:sz w:val="28"/>
          <w:szCs w:val="28"/>
          <w:highlight w:val="none"/>
          <w:lang w:val="en-US" w:eastAsia="zh-CN"/>
        </w:rPr>
        <w:t>3</w:t>
      </w:r>
      <w:r>
        <w:rPr>
          <w:rFonts w:hint="eastAsia" w:ascii="Times New Roman" w:hAnsi="Times New Roman" w:eastAsia="仿宋" w:cs="仿宋"/>
          <w:b w:val="0"/>
          <w:bCs/>
          <w:caps w:val="0"/>
          <w:smallCaps w:val="0"/>
          <w:color w:val="auto"/>
          <w:sz w:val="28"/>
          <w:szCs w:val="28"/>
          <w:highlight w:val="none"/>
        </w:rPr>
        <w:t>）</w:t>
      </w:r>
      <w:r>
        <w:rPr>
          <w:rFonts w:hint="eastAsia" w:ascii="Times New Roman" w:hAnsi="Times New Roman" w:eastAsia="仿宋" w:cs="仿宋"/>
          <w:b w:val="0"/>
          <w:bCs/>
          <w:caps w:val="0"/>
          <w:smallCaps w:val="0"/>
          <w:color w:val="auto"/>
          <w:kern w:val="2"/>
          <w:sz w:val="28"/>
          <w:szCs w:val="28"/>
          <w:highlight w:val="none"/>
          <w:lang w:eastAsia="zh-CN"/>
        </w:rPr>
        <w:t>工矿</w:t>
      </w:r>
      <w:r>
        <w:rPr>
          <w:rFonts w:hint="eastAsia" w:ascii="Times New Roman" w:hAnsi="Times New Roman" w:eastAsia="仿宋" w:cs="仿宋"/>
          <w:b w:val="0"/>
          <w:bCs/>
          <w:caps w:val="0"/>
          <w:smallCaps w:val="0"/>
          <w:color w:val="auto"/>
          <w:kern w:val="2"/>
          <w:sz w:val="28"/>
          <w:szCs w:val="28"/>
          <w:highlight w:val="none"/>
        </w:rPr>
        <w:t>用地地价影响因素指标说明表及修正系数表</w:t>
      </w:r>
    </w:p>
    <w:p w14:paraId="4F75A0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caps w:val="0"/>
          <w:smallCaps w:val="0"/>
          <w:color w:val="auto"/>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2-11</w:t>
      </w:r>
      <w:r>
        <w:rPr>
          <w:rFonts w:hint="eastAsia" w:ascii="Times New Roman" w:hAnsi="Times New Roman" w:eastAsia="仿宋" w:cs="仿宋"/>
          <w:b/>
          <w:caps w:val="0"/>
          <w:smallCaps w:val="0"/>
          <w:color w:val="auto"/>
          <w:sz w:val="24"/>
          <w:highlight w:val="none"/>
        </w:rPr>
        <w:t xml:space="preserve">  Ⅰ级</w:t>
      </w:r>
      <w:r>
        <w:rPr>
          <w:rFonts w:hint="eastAsia" w:ascii="Times New Roman" w:hAnsi="Times New Roman" w:eastAsia="仿宋" w:cs="仿宋"/>
          <w:b/>
          <w:caps w:val="0"/>
          <w:smallCaps w:val="0"/>
          <w:color w:val="auto"/>
          <w:sz w:val="24"/>
          <w:highlight w:val="none"/>
          <w:lang w:eastAsia="zh-CN"/>
        </w:rPr>
        <w:t>工矿</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5087" w:type="pct"/>
        <w:jc w:val="center"/>
        <w:tblLayout w:type="autofit"/>
        <w:tblCellMar>
          <w:top w:w="0" w:type="dxa"/>
          <w:left w:w="108" w:type="dxa"/>
          <w:bottom w:w="0" w:type="dxa"/>
          <w:right w:w="108" w:type="dxa"/>
        </w:tblCellMar>
      </w:tblPr>
      <w:tblGrid>
        <w:gridCol w:w="682"/>
        <w:gridCol w:w="1708"/>
        <w:gridCol w:w="1413"/>
        <w:gridCol w:w="1220"/>
        <w:gridCol w:w="1246"/>
        <w:gridCol w:w="1214"/>
        <w:gridCol w:w="1388"/>
      </w:tblGrid>
      <w:tr w14:paraId="3D3C6D08">
        <w:tblPrEx>
          <w:tblCellMar>
            <w:top w:w="0" w:type="dxa"/>
            <w:left w:w="108" w:type="dxa"/>
            <w:bottom w:w="0" w:type="dxa"/>
            <w:right w:w="108" w:type="dxa"/>
          </w:tblCellMar>
        </w:tblPrEx>
        <w:trPr>
          <w:trHeight w:val="283" w:hRule="atLeast"/>
          <w:jc w:val="center"/>
        </w:trPr>
        <w:tc>
          <w:tcPr>
            <w:tcW w:w="2390" w:type="dxa"/>
            <w:gridSpan w:val="2"/>
            <w:tcBorders>
              <w:top w:val="single" w:color="auto" w:sz="4" w:space="0"/>
              <w:left w:val="single" w:color="auto" w:sz="4" w:space="0"/>
              <w:bottom w:val="single" w:color="auto" w:sz="4" w:space="0"/>
              <w:right w:val="single" w:color="auto" w:sz="4" w:space="0"/>
            </w:tcBorders>
            <w:noWrap w:val="0"/>
            <w:vAlign w:val="center"/>
          </w:tcPr>
          <w:p w14:paraId="0ABB8DD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413" w:type="dxa"/>
            <w:tcBorders>
              <w:top w:val="single" w:color="auto" w:sz="4" w:space="0"/>
              <w:left w:val="nil"/>
              <w:bottom w:val="single" w:color="auto" w:sz="4" w:space="0"/>
              <w:right w:val="single" w:color="auto" w:sz="4" w:space="0"/>
            </w:tcBorders>
            <w:noWrap w:val="0"/>
            <w:vAlign w:val="center"/>
          </w:tcPr>
          <w:p w14:paraId="2714EDA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220" w:type="dxa"/>
            <w:tcBorders>
              <w:top w:val="single" w:color="auto" w:sz="4" w:space="0"/>
              <w:left w:val="nil"/>
              <w:bottom w:val="single" w:color="auto" w:sz="4" w:space="0"/>
              <w:right w:val="single" w:color="auto" w:sz="4" w:space="0"/>
            </w:tcBorders>
            <w:noWrap w:val="0"/>
            <w:vAlign w:val="center"/>
          </w:tcPr>
          <w:p w14:paraId="32B03D7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246" w:type="dxa"/>
            <w:tcBorders>
              <w:top w:val="single" w:color="auto" w:sz="4" w:space="0"/>
              <w:left w:val="nil"/>
              <w:bottom w:val="single" w:color="auto" w:sz="4" w:space="0"/>
              <w:right w:val="single" w:color="auto" w:sz="4" w:space="0"/>
            </w:tcBorders>
            <w:noWrap w:val="0"/>
            <w:vAlign w:val="center"/>
          </w:tcPr>
          <w:p w14:paraId="7D607A5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215" w:type="dxa"/>
            <w:tcBorders>
              <w:top w:val="single" w:color="auto" w:sz="4" w:space="0"/>
              <w:left w:val="nil"/>
              <w:bottom w:val="single" w:color="auto" w:sz="4" w:space="0"/>
              <w:right w:val="single" w:color="auto" w:sz="4" w:space="0"/>
            </w:tcBorders>
            <w:noWrap w:val="0"/>
            <w:vAlign w:val="center"/>
          </w:tcPr>
          <w:p w14:paraId="2613B32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389" w:type="dxa"/>
            <w:tcBorders>
              <w:top w:val="single" w:color="auto" w:sz="4" w:space="0"/>
              <w:left w:val="nil"/>
              <w:bottom w:val="single" w:color="auto" w:sz="4" w:space="0"/>
              <w:right w:val="single" w:color="auto" w:sz="4" w:space="0"/>
            </w:tcBorders>
            <w:noWrap w:val="0"/>
            <w:vAlign w:val="center"/>
          </w:tcPr>
          <w:p w14:paraId="5DF7451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0B327941">
        <w:tblPrEx>
          <w:tblCellMar>
            <w:top w:w="0" w:type="dxa"/>
            <w:left w:w="108" w:type="dxa"/>
            <w:bottom w:w="0" w:type="dxa"/>
            <w:right w:w="108" w:type="dxa"/>
          </w:tblCellMar>
        </w:tblPrEx>
        <w:trPr>
          <w:trHeight w:val="283" w:hRule="atLeast"/>
          <w:jc w:val="center"/>
        </w:trPr>
        <w:tc>
          <w:tcPr>
            <w:tcW w:w="384" w:type="pct"/>
            <w:vMerge w:val="restart"/>
            <w:tcBorders>
              <w:top w:val="nil"/>
              <w:left w:val="single" w:color="auto" w:sz="4" w:space="0"/>
              <w:bottom w:val="single" w:color="auto" w:sz="4" w:space="0"/>
              <w:right w:val="single" w:color="auto" w:sz="4" w:space="0"/>
            </w:tcBorders>
            <w:noWrap w:val="0"/>
            <w:vAlign w:val="center"/>
          </w:tcPr>
          <w:p w14:paraId="63C8A2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1178D2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962" w:type="pct"/>
            <w:tcBorders>
              <w:top w:val="nil"/>
              <w:left w:val="nil"/>
              <w:bottom w:val="single" w:color="auto" w:sz="4" w:space="0"/>
              <w:right w:val="single" w:color="auto" w:sz="4" w:space="0"/>
            </w:tcBorders>
            <w:noWrap w:val="0"/>
            <w:vAlign w:val="center"/>
          </w:tcPr>
          <w:p w14:paraId="08DF2C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道路通达度</w:t>
            </w:r>
          </w:p>
        </w:tc>
        <w:tc>
          <w:tcPr>
            <w:tcW w:w="796" w:type="pct"/>
            <w:tcBorders>
              <w:top w:val="nil"/>
              <w:left w:val="nil"/>
              <w:bottom w:val="single" w:color="auto" w:sz="4" w:space="0"/>
              <w:right w:val="single" w:color="auto" w:sz="4" w:space="0"/>
            </w:tcBorders>
            <w:noWrap w:val="0"/>
            <w:vAlign w:val="center"/>
          </w:tcPr>
          <w:p w14:paraId="7994B8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区域内有主、次干道通过，道路通达度好</w:t>
            </w:r>
          </w:p>
        </w:tc>
        <w:tc>
          <w:tcPr>
            <w:tcW w:w="687" w:type="pct"/>
            <w:tcBorders>
              <w:top w:val="nil"/>
              <w:left w:val="nil"/>
              <w:bottom w:val="single" w:color="auto" w:sz="4" w:space="0"/>
              <w:right w:val="single" w:color="auto" w:sz="4" w:space="0"/>
            </w:tcBorders>
            <w:noWrap w:val="0"/>
            <w:vAlign w:val="center"/>
          </w:tcPr>
          <w:p w14:paraId="06A94B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区域内有主干道通过，道路通达度较好</w:t>
            </w:r>
          </w:p>
        </w:tc>
        <w:tc>
          <w:tcPr>
            <w:tcW w:w="702" w:type="pct"/>
            <w:tcBorders>
              <w:top w:val="nil"/>
              <w:left w:val="nil"/>
              <w:bottom w:val="single" w:color="auto" w:sz="4" w:space="0"/>
              <w:right w:val="single" w:color="auto" w:sz="4" w:space="0"/>
            </w:tcBorders>
            <w:noWrap w:val="0"/>
            <w:vAlign w:val="center"/>
          </w:tcPr>
          <w:p w14:paraId="702AEE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区域内有次干道通过，道路通达性一般</w:t>
            </w:r>
          </w:p>
        </w:tc>
        <w:tc>
          <w:tcPr>
            <w:tcW w:w="684" w:type="pct"/>
            <w:tcBorders>
              <w:top w:val="nil"/>
              <w:left w:val="nil"/>
              <w:bottom w:val="single" w:color="auto" w:sz="4" w:space="0"/>
              <w:right w:val="single" w:color="auto" w:sz="4" w:space="0"/>
            </w:tcBorders>
            <w:noWrap w:val="0"/>
            <w:vAlign w:val="center"/>
          </w:tcPr>
          <w:p w14:paraId="6D220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区域内有支路通过，道路通达性较差</w:t>
            </w:r>
          </w:p>
        </w:tc>
        <w:tc>
          <w:tcPr>
            <w:tcW w:w="782" w:type="pct"/>
            <w:tcBorders>
              <w:top w:val="nil"/>
              <w:left w:val="nil"/>
              <w:bottom w:val="single" w:color="auto" w:sz="4" w:space="0"/>
              <w:right w:val="single" w:color="auto" w:sz="4" w:space="0"/>
            </w:tcBorders>
            <w:noWrap w:val="0"/>
            <w:vAlign w:val="center"/>
          </w:tcPr>
          <w:p w14:paraId="599DE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区域内以巷道为主，道路通达性差</w:t>
            </w:r>
          </w:p>
        </w:tc>
      </w:tr>
      <w:tr w14:paraId="3B748A79">
        <w:tblPrEx>
          <w:tblCellMar>
            <w:top w:w="0" w:type="dxa"/>
            <w:left w:w="108" w:type="dxa"/>
            <w:bottom w:w="0" w:type="dxa"/>
            <w:right w:w="108" w:type="dxa"/>
          </w:tblCellMar>
        </w:tblPrEx>
        <w:trPr>
          <w:trHeight w:val="283" w:hRule="atLeast"/>
          <w:jc w:val="center"/>
        </w:trPr>
        <w:tc>
          <w:tcPr>
            <w:tcW w:w="384" w:type="pct"/>
            <w:vMerge w:val="continue"/>
            <w:tcBorders>
              <w:top w:val="nil"/>
              <w:left w:val="single" w:color="auto" w:sz="4" w:space="0"/>
              <w:bottom w:val="single" w:color="auto" w:sz="4" w:space="0"/>
              <w:right w:val="single" w:color="auto" w:sz="4" w:space="0"/>
            </w:tcBorders>
            <w:noWrap w:val="0"/>
            <w:vAlign w:val="center"/>
          </w:tcPr>
          <w:p w14:paraId="141E8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noWrap w:val="0"/>
            <w:vAlign w:val="center"/>
          </w:tcPr>
          <w:p w14:paraId="133FC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796" w:type="pct"/>
            <w:tcBorders>
              <w:top w:val="nil"/>
              <w:left w:val="nil"/>
              <w:bottom w:val="single" w:color="auto" w:sz="4" w:space="0"/>
              <w:right w:val="single" w:color="auto" w:sz="4" w:space="0"/>
            </w:tcBorders>
            <w:noWrap w:val="0"/>
            <w:vAlign w:val="center"/>
          </w:tcPr>
          <w:p w14:paraId="2F1D8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687" w:type="pct"/>
            <w:tcBorders>
              <w:top w:val="nil"/>
              <w:left w:val="nil"/>
              <w:bottom w:val="single" w:color="auto" w:sz="4" w:space="0"/>
              <w:right w:val="single" w:color="auto" w:sz="4" w:space="0"/>
            </w:tcBorders>
            <w:noWrap w:val="0"/>
            <w:vAlign w:val="center"/>
          </w:tcPr>
          <w:p w14:paraId="08310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02" w:type="pct"/>
            <w:tcBorders>
              <w:top w:val="nil"/>
              <w:left w:val="nil"/>
              <w:bottom w:val="single" w:color="auto" w:sz="4" w:space="0"/>
              <w:right w:val="single" w:color="auto" w:sz="4" w:space="0"/>
            </w:tcBorders>
            <w:noWrap w:val="0"/>
            <w:vAlign w:val="center"/>
          </w:tcPr>
          <w:p w14:paraId="66612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684" w:type="pct"/>
            <w:tcBorders>
              <w:top w:val="nil"/>
              <w:left w:val="nil"/>
              <w:bottom w:val="single" w:color="auto" w:sz="4" w:space="0"/>
              <w:right w:val="single" w:color="auto" w:sz="4" w:space="0"/>
            </w:tcBorders>
            <w:noWrap w:val="0"/>
            <w:vAlign w:val="center"/>
          </w:tcPr>
          <w:p w14:paraId="468692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782" w:type="pct"/>
            <w:tcBorders>
              <w:top w:val="nil"/>
              <w:left w:val="nil"/>
              <w:bottom w:val="single" w:color="auto" w:sz="4" w:space="0"/>
              <w:right w:val="single" w:color="auto" w:sz="4" w:space="0"/>
            </w:tcBorders>
            <w:noWrap w:val="0"/>
            <w:vAlign w:val="center"/>
          </w:tcPr>
          <w:p w14:paraId="2C384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3F021959">
        <w:tblPrEx>
          <w:tblCellMar>
            <w:top w:w="0" w:type="dxa"/>
            <w:left w:w="108" w:type="dxa"/>
            <w:bottom w:w="0" w:type="dxa"/>
            <w:right w:w="108" w:type="dxa"/>
          </w:tblCellMar>
        </w:tblPrEx>
        <w:trPr>
          <w:trHeight w:val="283" w:hRule="atLeast"/>
          <w:jc w:val="center"/>
        </w:trPr>
        <w:tc>
          <w:tcPr>
            <w:tcW w:w="384" w:type="pct"/>
            <w:vMerge w:val="continue"/>
            <w:tcBorders>
              <w:top w:val="nil"/>
              <w:left w:val="single" w:color="auto" w:sz="4" w:space="0"/>
              <w:bottom w:val="single" w:color="auto" w:sz="4" w:space="0"/>
              <w:right w:val="single" w:color="auto" w:sz="4" w:space="0"/>
            </w:tcBorders>
            <w:noWrap w:val="0"/>
            <w:vAlign w:val="center"/>
          </w:tcPr>
          <w:p w14:paraId="5E146D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shd w:val="clear" w:color="auto" w:fill="auto"/>
            <w:noWrap w:val="0"/>
            <w:vAlign w:val="center"/>
          </w:tcPr>
          <w:p w14:paraId="02E87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货运站</w:t>
            </w:r>
            <w:r>
              <w:rPr>
                <w:rFonts w:hint="default" w:ascii="Times New Roman" w:hAnsi="Times New Roman" w:eastAsia="仿宋" w:cs="仿宋"/>
                <w:b w:val="0"/>
                <w:bCs w:val="0"/>
                <w:caps w:val="0"/>
                <w:smallCaps w:val="0"/>
                <w:color w:val="auto"/>
                <w:sz w:val="21"/>
                <w:szCs w:val="21"/>
                <w:highlight w:val="none"/>
                <w:lang w:val="en-US" w:eastAsia="zh-CN"/>
              </w:rPr>
              <w:t>/</w:t>
            </w:r>
            <w:r>
              <w:rPr>
                <w:rFonts w:hint="eastAsia" w:ascii="Times New Roman" w:hAnsi="Times New Roman" w:eastAsia="仿宋" w:cs="仿宋"/>
                <w:b w:val="0"/>
                <w:bCs w:val="0"/>
                <w:caps w:val="0"/>
                <w:smallCaps w:val="0"/>
                <w:color w:val="auto"/>
                <w:sz w:val="21"/>
                <w:szCs w:val="21"/>
                <w:highlight w:val="none"/>
                <w:lang w:val="en-US" w:eastAsia="zh-CN"/>
              </w:rPr>
              <w:t>物流园区</w:t>
            </w:r>
          </w:p>
        </w:tc>
        <w:tc>
          <w:tcPr>
            <w:tcW w:w="796" w:type="pct"/>
            <w:tcBorders>
              <w:top w:val="nil"/>
              <w:left w:val="nil"/>
              <w:bottom w:val="single" w:color="auto" w:sz="4" w:space="0"/>
              <w:right w:val="single" w:color="auto" w:sz="4" w:space="0"/>
            </w:tcBorders>
            <w:shd w:val="clear" w:color="auto" w:fill="auto"/>
            <w:noWrap w:val="0"/>
            <w:vAlign w:val="center"/>
          </w:tcPr>
          <w:p w14:paraId="3AAE4A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687" w:type="pct"/>
            <w:tcBorders>
              <w:top w:val="nil"/>
              <w:left w:val="nil"/>
              <w:bottom w:val="single" w:color="auto" w:sz="4" w:space="0"/>
              <w:right w:val="single" w:color="auto" w:sz="4" w:space="0"/>
            </w:tcBorders>
            <w:shd w:val="clear" w:color="auto" w:fill="auto"/>
            <w:noWrap w:val="0"/>
            <w:vAlign w:val="center"/>
          </w:tcPr>
          <w:p w14:paraId="700B0A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900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702" w:type="pct"/>
            <w:tcBorders>
              <w:top w:val="nil"/>
              <w:left w:val="nil"/>
              <w:bottom w:val="single" w:color="auto" w:sz="4" w:space="0"/>
              <w:right w:val="single" w:color="auto" w:sz="4" w:space="0"/>
            </w:tcBorders>
            <w:shd w:val="clear" w:color="auto" w:fill="auto"/>
            <w:noWrap w:val="0"/>
            <w:vAlign w:val="center"/>
          </w:tcPr>
          <w:p w14:paraId="277B3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900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1100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684" w:type="pct"/>
            <w:tcBorders>
              <w:top w:val="nil"/>
              <w:left w:val="nil"/>
              <w:bottom w:val="single" w:color="auto" w:sz="4" w:space="0"/>
              <w:right w:val="single" w:color="auto" w:sz="4" w:space="0"/>
            </w:tcBorders>
            <w:shd w:val="clear" w:color="auto" w:fill="auto"/>
            <w:noWrap w:val="0"/>
            <w:vAlign w:val="center"/>
          </w:tcPr>
          <w:p w14:paraId="5261A8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1100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1300</w:t>
            </w:r>
            <w:r>
              <w:rPr>
                <w:rFonts w:hint="eastAsia" w:ascii="Times New Roman" w:hAnsi="Times New Roman" w:eastAsia="仿宋" w:cs="仿宋"/>
                <w:b w:val="0"/>
                <w:bCs w:val="0"/>
                <w:caps w:val="0"/>
                <w:smallCaps w:val="0"/>
                <w:color w:val="auto"/>
                <w:sz w:val="21"/>
                <w:szCs w:val="21"/>
                <w:highlight w:val="none"/>
                <w:lang w:val="en-US" w:eastAsia="zh-CN"/>
              </w:rPr>
              <w:t>）米</w:t>
            </w:r>
          </w:p>
        </w:tc>
        <w:tc>
          <w:tcPr>
            <w:tcW w:w="782" w:type="pct"/>
            <w:tcBorders>
              <w:top w:val="nil"/>
              <w:left w:val="nil"/>
              <w:bottom w:val="single" w:color="auto" w:sz="4" w:space="0"/>
              <w:right w:val="single" w:color="auto" w:sz="4" w:space="0"/>
            </w:tcBorders>
            <w:shd w:val="clear" w:color="auto" w:fill="auto"/>
            <w:noWrap w:val="0"/>
            <w:vAlign w:val="center"/>
          </w:tcPr>
          <w:p w14:paraId="2DFBD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1300</w:t>
            </w:r>
          </w:p>
        </w:tc>
      </w:tr>
      <w:tr w14:paraId="26579262">
        <w:tblPrEx>
          <w:tblCellMar>
            <w:top w:w="0" w:type="dxa"/>
            <w:left w:w="108" w:type="dxa"/>
            <w:bottom w:w="0" w:type="dxa"/>
            <w:right w:w="108" w:type="dxa"/>
          </w:tblCellMar>
        </w:tblPrEx>
        <w:trPr>
          <w:trHeight w:val="283" w:hRule="atLeast"/>
          <w:jc w:val="center"/>
        </w:trPr>
        <w:tc>
          <w:tcPr>
            <w:tcW w:w="384" w:type="pct"/>
            <w:vMerge w:val="continue"/>
            <w:tcBorders>
              <w:top w:val="nil"/>
              <w:left w:val="single" w:color="auto" w:sz="4" w:space="0"/>
              <w:bottom w:val="single" w:color="auto" w:sz="4" w:space="0"/>
              <w:right w:val="single" w:color="auto" w:sz="4" w:space="0"/>
            </w:tcBorders>
            <w:noWrap w:val="0"/>
            <w:vAlign w:val="center"/>
          </w:tcPr>
          <w:p w14:paraId="76653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noWrap w:val="0"/>
            <w:vAlign w:val="center"/>
          </w:tcPr>
          <w:p w14:paraId="06224D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796" w:type="pct"/>
            <w:tcBorders>
              <w:top w:val="nil"/>
              <w:left w:val="nil"/>
              <w:bottom w:val="single" w:color="auto" w:sz="4" w:space="0"/>
              <w:right w:val="single" w:color="auto" w:sz="4" w:space="0"/>
            </w:tcBorders>
            <w:noWrap w:val="0"/>
            <w:vAlign w:val="center"/>
          </w:tcPr>
          <w:p w14:paraId="775B2A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687" w:type="pct"/>
            <w:tcBorders>
              <w:top w:val="nil"/>
              <w:left w:val="nil"/>
              <w:bottom w:val="single" w:color="auto" w:sz="4" w:space="0"/>
              <w:right w:val="single" w:color="auto" w:sz="4" w:space="0"/>
            </w:tcBorders>
            <w:noWrap w:val="0"/>
            <w:vAlign w:val="center"/>
          </w:tcPr>
          <w:p w14:paraId="4C323C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702" w:type="pct"/>
            <w:tcBorders>
              <w:top w:val="nil"/>
              <w:left w:val="nil"/>
              <w:bottom w:val="single" w:color="auto" w:sz="4" w:space="0"/>
              <w:right w:val="single" w:color="auto" w:sz="4" w:space="0"/>
            </w:tcBorders>
            <w:noWrap w:val="0"/>
            <w:vAlign w:val="center"/>
          </w:tcPr>
          <w:p w14:paraId="359E31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684" w:type="pct"/>
            <w:tcBorders>
              <w:top w:val="nil"/>
              <w:left w:val="nil"/>
              <w:bottom w:val="single" w:color="auto" w:sz="4" w:space="0"/>
              <w:right w:val="single" w:color="auto" w:sz="4" w:space="0"/>
            </w:tcBorders>
            <w:noWrap w:val="0"/>
            <w:vAlign w:val="center"/>
          </w:tcPr>
          <w:p w14:paraId="5387DF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782" w:type="pct"/>
            <w:tcBorders>
              <w:top w:val="nil"/>
              <w:left w:val="nil"/>
              <w:bottom w:val="single" w:color="auto" w:sz="4" w:space="0"/>
              <w:right w:val="single" w:color="auto" w:sz="4" w:space="0"/>
            </w:tcBorders>
            <w:noWrap w:val="0"/>
            <w:vAlign w:val="center"/>
          </w:tcPr>
          <w:p w14:paraId="074F7F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52982C90">
        <w:tblPrEx>
          <w:tblCellMar>
            <w:top w:w="0" w:type="dxa"/>
            <w:left w:w="108" w:type="dxa"/>
            <w:bottom w:w="0" w:type="dxa"/>
            <w:right w:w="108" w:type="dxa"/>
          </w:tblCellMar>
        </w:tblPrEx>
        <w:trPr>
          <w:trHeight w:val="283" w:hRule="atLeast"/>
          <w:jc w:val="center"/>
        </w:trPr>
        <w:tc>
          <w:tcPr>
            <w:tcW w:w="384" w:type="pct"/>
            <w:vMerge w:val="continue"/>
            <w:tcBorders>
              <w:top w:val="nil"/>
              <w:left w:val="single" w:color="auto" w:sz="4" w:space="0"/>
              <w:bottom w:val="single" w:color="auto" w:sz="4" w:space="0"/>
              <w:right w:val="single" w:color="auto" w:sz="4" w:space="0"/>
            </w:tcBorders>
            <w:noWrap w:val="0"/>
            <w:vAlign w:val="center"/>
          </w:tcPr>
          <w:p w14:paraId="62F2D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noWrap w:val="0"/>
            <w:vAlign w:val="center"/>
          </w:tcPr>
          <w:p w14:paraId="1F20C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796" w:type="pct"/>
            <w:tcBorders>
              <w:top w:val="nil"/>
              <w:left w:val="nil"/>
              <w:bottom w:val="single" w:color="auto" w:sz="4" w:space="0"/>
              <w:right w:val="single" w:color="auto" w:sz="4" w:space="0"/>
            </w:tcBorders>
            <w:shd w:val="clear" w:color="auto" w:fill="auto"/>
            <w:noWrap w:val="0"/>
            <w:vAlign w:val="center"/>
          </w:tcPr>
          <w:p w14:paraId="0756FAE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687" w:type="pct"/>
            <w:tcBorders>
              <w:top w:val="nil"/>
              <w:left w:val="nil"/>
              <w:bottom w:val="single" w:color="auto" w:sz="4" w:space="0"/>
              <w:right w:val="single" w:color="auto" w:sz="4" w:space="0"/>
            </w:tcBorders>
            <w:shd w:val="clear" w:color="auto" w:fill="auto"/>
            <w:noWrap w:val="0"/>
            <w:vAlign w:val="center"/>
          </w:tcPr>
          <w:p w14:paraId="24C831A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02" w:type="pct"/>
            <w:tcBorders>
              <w:top w:val="nil"/>
              <w:left w:val="nil"/>
              <w:bottom w:val="single" w:color="auto" w:sz="4" w:space="0"/>
              <w:right w:val="single" w:color="auto" w:sz="4" w:space="0"/>
            </w:tcBorders>
            <w:shd w:val="clear" w:color="auto" w:fill="auto"/>
            <w:noWrap w:val="0"/>
            <w:vAlign w:val="center"/>
          </w:tcPr>
          <w:p w14:paraId="74A0E58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只有污排</w:t>
            </w:r>
          </w:p>
        </w:tc>
        <w:tc>
          <w:tcPr>
            <w:tcW w:w="684" w:type="pct"/>
            <w:tcBorders>
              <w:top w:val="nil"/>
              <w:left w:val="nil"/>
              <w:bottom w:val="single" w:color="auto" w:sz="4" w:space="0"/>
              <w:right w:val="single" w:color="auto" w:sz="4" w:space="0"/>
            </w:tcBorders>
            <w:shd w:val="clear" w:color="auto" w:fill="auto"/>
            <w:noWrap w:val="0"/>
            <w:vAlign w:val="center"/>
          </w:tcPr>
          <w:p w14:paraId="78A065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只有雨排</w:t>
            </w:r>
          </w:p>
        </w:tc>
        <w:tc>
          <w:tcPr>
            <w:tcW w:w="782" w:type="pct"/>
            <w:tcBorders>
              <w:top w:val="nil"/>
              <w:left w:val="nil"/>
              <w:bottom w:val="single" w:color="auto" w:sz="4" w:space="0"/>
              <w:right w:val="single" w:color="auto" w:sz="4" w:space="0"/>
            </w:tcBorders>
            <w:shd w:val="clear" w:color="auto" w:fill="auto"/>
            <w:noWrap w:val="0"/>
            <w:vAlign w:val="center"/>
          </w:tcPr>
          <w:p w14:paraId="1738CB0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无排水系统</w:t>
            </w:r>
          </w:p>
        </w:tc>
      </w:tr>
      <w:tr w14:paraId="26666B8D">
        <w:tblPrEx>
          <w:tblCellMar>
            <w:top w:w="0" w:type="dxa"/>
            <w:left w:w="108" w:type="dxa"/>
            <w:bottom w:w="0" w:type="dxa"/>
            <w:right w:w="108" w:type="dxa"/>
          </w:tblCellMar>
        </w:tblPrEx>
        <w:trPr>
          <w:trHeight w:val="283" w:hRule="atLeast"/>
          <w:jc w:val="center"/>
        </w:trPr>
        <w:tc>
          <w:tcPr>
            <w:tcW w:w="384" w:type="pct"/>
            <w:vMerge w:val="continue"/>
            <w:tcBorders>
              <w:top w:val="nil"/>
              <w:left w:val="single" w:color="auto" w:sz="4" w:space="0"/>
              <w:bottom w:val="single" w:color="auto" w:sz="4" w:space="0"/>
              <w:right w:val="single" w:color="auto" w:sz="4" w:space="0"/>
            </w:tcBorders>
            <w:noWrap w:val="0"/>
            <w:vAlign w:val="center"/>
          </w:tcPr>
          <w:p w14:paraId="0F4EB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noWrap w:val="0"/>
            <w:vAlign w:val="center"/>
          </w:tcPr>
          <w:p w14:paraId="4F571D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产业集聚度</w:t>
            </w:r>
          </w:p>
        </w:tc>
        <w:tc>
          <w:tcPr>
            <w:tcW w:w="796" w:type="pct"/>
            <w:tcBorders>
              <w:top w:val="nil"/>
              <w:left w:val="nil"/>
              <w:bottom w:val="single" w:color="auto" w:sz="4" w:space="0"/>
              <w:right w:val="single" w:color="auto" w:sz="4" w:space="0"/>
            </w:tcBorders>
            <w:noWrap w:val="0"/>
            <w:vAlign w:val="center"/>
          </w:tcPr>
          <w:p w14:paraId="05CF5F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周围集聚大型</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，形成</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园区</w:t>
            </w:r>
          </w:p>
        </w:tc>
        <w:tc>
          <w:tcPr>
            <w:tcW w:w="687" w:type="pct"/>
            <w:tcBorders>
              <w:top w:val="nil"/>
              <w:left w:val="nil"/>
              <w:bottom w:val="single" w:color="auto" w:sz="4" w:space="0"/>
              <w:right w:val="single" w:color="auto" w:sz="4" w:space="0"/>
            </w:tcBorders>
            <w:noWrap w:val="0"/>
            <w:vAlign w:val="center"/>
          </w:tcPr>
          <w:p w14:paraId="00C95D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分布较多，且有一定规模</w:t>
            </w:r>
          </w:p>
        </w:tc>
        <w:tc>
          <w:tcPr>
            <w:tcW w:w="702" w:type="pct"/>
            <w:tcBorders>
              <w:top w:val="nil"/>
              <w:left w:val="nil"/>
              <w:bottom w:val="single" w:color="auto" w:sz="4" w:space="0"/>
              <w:right w:val="single" w:color="auto" w:sz="4" w:space="0"/>
            </w:tcBorders>
            <w:noWrap w:val="0"/>
            <w:vAlign w:val="center"/>
          </w:tcPr>
          <w:p w14:paraId="1BCDC3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周围有</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分布，属于一般产业区</w:t>
            </w:r>
          </w:p>
        </w:tc>
        <w:tc>
          <w:tcPr>
            <w:tcW w:w="684" w:type="pct"/>
            <w:tcBorders>
              <w:top w:val="nil"/>
              <w:left w:val="nil"/>
              <w:bottom w:val="single" w:color="auto" w:sz="4" w:space="0"/>
              <w:right w:val="single" w:color="auto" w:sz="4" w:space="0"/>
            </w:tcBorders>
            <w:noWrap w:val="0"/>
            <w:vAlign w:val="center"/>
          </w:tcPr>
          <w:p w14:paraId="34438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分布较分散，且距离较远</w:t>
            </w:r>
          </w:p>
        </w:tc>
        <w:tc>
          <w:tcPr>
            <w:tcW w:w="782" w:type="pct"/>
            <w:tcBorders>
              <w:top w:val="nil"/>
              <w:left w:val="nil"/>
              <w:bottom w:val="single" w:color="auto" w:sz="4" w:space="0"/>
              <w:right w:val="single" w:color="auto" w:sz="4" w:space="0"/>
            </w:tcBorders>
            <w:noWrap w:val="0"/>
            <w:vAlign w:val="center"/>
          </w:tcPr>
          <w:p w14:paraId="681450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区域内无</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企业分布</w:t>
            </w:r>
          </w:p>
        </w:tc>
      </w:tr>
      <w:tr w14:paraId="7CC41C26">
        <w:tblPrEx>
          <w:tblCellMar>
            <w:top w:w="0" w:type="dxa"/>
            <w:left w:w="108" w:type="dxa"/>
            <w:bottom w:w="0" w:type="dxa"/>
            <w:right w:w="108" w:type="dxa"/>
          </w:tblCellMar>
        </w:tblPrEx>
        <w:trPr>
          <w:trHeight w:val="283" w:hRule="atLeast"/>
          <w:jc w:val="center"/>
        </w:trPr>
        <w:tc>
          <w:tcPr>
            <w:tcW w:w="384" w:type="pct"/>
            <w:vMerge w:val="restart"/>
            <w:tcBorders>
              <w:top w:val="nil"/>
              <w:left w:val="single" w:color="auto" w:sz="4" w:space="0"/>
              <w:right w:val="single" w:color="auto" w:sz="4" w:space="0"/>
            </w:tcBorders>
            <w:noWrap w:val="0"/>
            <w:vAlign w:val="center"/>
          </w:tcPr>
          <w:p w14:paraId="6CB5C5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4A79BC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962" w:type="pct"/>
            <w:tcBorders>
              <w:top w:val="nil"/>
              <w:left w:val="nil"/>
              <w:bottom w:val="single" w:color="auto" w:sz="4" w:space="0"/>
              <w:right w:val="single" w:color="auto" w:sz="4" w:space="0"/>
            </w:tcBorders>
            <w:noWrap w:val="0"/>
            <w:vAlign w:val="center"/>
          </w:tcPr>
          <w:p w14:paraId="06022E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796" w:type="pct"/>
            <w:tcBorders>
              <w:top w:val="nil"/>
              <w:left w:val="nil"/>
              <w:bottom w:val="single" w:color="auto" w:sz="4" w:space="0"/>
              <w:right w:val="single" w:color="auto" w:sz="4" w:space="0"/>
            </w:tcBorders>
            <w:noWrap w:val="0"/>
            <w:vAlign w:val="center"/>
          </w:tcPr>
          <w:p w14:paraId="59611F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形状规则极有利于土地利用</w:t>
            </w:r>
          </w:p>
        </w:tc>
        <w:tc>
          <w:tcPr>
            <w:tcW w:w="687" w:type="pct"/>
            <w:tcBorders>
              <w:top w:val="nil"/>
              <w:left w:val="nil"/>
              <w:bottom w:val="single" w:color="auto" w:sz="4" w:space="0"/>
              <w:right w:val="single" w:color="auto" w:sz="4" w:space="0"/>
            </w:tcBorders>
            <w:noWrap w:val="0"/>
            <w:vAlign w:val="center"/>
          </w:tcPr>
          <w:p w14:paraId="37FEA7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形状规则对土地利用较有利</w:t>
            </w:r>
          </w:p>
        </w:tc>
        <w:tc>
          <w:tcPr>
            <w:tcW w:w="702" w:type="pct"/>
            <w:tcBorders>
              <w:top w:val="nil"/>
              <w:left w:val="nil"/>
              <w:bottom w:val="single" w:color="auto" w:sz="4" w:space="0"/>
              <w:right w:val="single" w:color="auto" w:sz="4" w:space="0"/>
            </w:tcBorders>
            <w:noWrap w:val="0"/>
            <w:vAlign w:val="center"/>
          </w:tcPr>
          <w:p w14:paraId="79603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形状不规则，对土地利用无不良影响</w:t>
            </w:r>
          </w:p>
        </w:tc>
        <w:tc>
          <w:tcPr>
            <w:tcW w:w="684" w:type="pct"/>
            <w:tcBorders>
              <w:top w:val="nil"/>
              <w:left w:val="nil"/>
              <w:bottom w:val="single" w:color="auto" w:sz="4" w:space="0"/>
              <w:right w:val="single" w:color="auto" w:sz="4" w:space="0"/>
            </w:tcBorders>
            <w:noWrap w:val="0"/>
            <w:vAlign w:val="center"/>
          </w:tcPr>
          <w:p w14:paraId="6C7AFE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形状不规则，对土地利用有一定影响</w:t>
            </w:r>
          </w:p>
        </w:tc>
        <w:tc>
          <w:tcPr>
            <w:tcW w:w="782" w:type="pct"/>
            <w:tcBorders>
              <w:top w:val="nil"/>
              <w:left w:val="nil"/>
              <w:bottom w:val="single" w:color="auto" w:sz="4" w:space="0"/>
              <w:right w:val="single" w:color="auto" w:sz="4" w:space="0"/>
            </w:tcBorders>
            <w:noWrap w:val="0"/>
            <w:vAlign w:val="center"/>
          </w:tcPr>
          <w:p w14:paraId="5118D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形状极不规则，对土地利用影响严重</w:t>
            </w:r>
          </w:p>
        </w:tc>
      </w:tr>
      <w:tr w14:paraId="2A663D2D">
        <w:tblPrEx>
          <w:tblCellMar>
            <w:top w:w="0" w:type="dxa"/>
            <w:left w:w="108" w:type="dxa"/>
            <w:bottom w:w="0" w:type="dxa"/>
            <w:right w:w="108" w:type="dxa"/>
          </w:tblCellMar>
        </w:tblPrEx>
        <w:trPr>
          <w:trHeight w:val="283" w:hRule="atLeast"/>
          <w:jc w:val="center"/>
        </w:trPr>
        <w:tc>
          <w:tcPr>
            <w:tcW w:w="384" w:type="pct"/>
            <w:vMerge w:val="continue"/>
            <w:tcBorders>
              <w:left w:val="single" w:color="auto" w:sz="4" w:space="0"/>
              <w:right w:val="single" w:color="auto" w:sz="4" w:space="0"/>
            </w:tcBorders>
            <w:noWrap w:val="0"/>
            <w:vAlign w:val="center"/>
          </w:tcPr>
          <w:p w14:paraId="2A890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nil"/>
              <w:left w:val="nil"/>
              <w:bottom w:val="single" w:color="auto" w:sz="4" w:space="0"/>
              <w:right w:val="single" w:color="auto" w:sz="4" w:space="0"/>
            </w:tcBorders>
            <w:noWrap w:val="0"/>
            <w:vAlign w:val="center"/>
          </w:tcPr>
          <w:p w14:paraId="36878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796" w:type="pct"/>
            <w:tcBorders>
              <w:top w:val="nil"/>
              <w:left w:val="nil"/>
              <w:bottom w:val="single" w:color="auto" w:sz="4" w:space="0"/>
              <w:right w:val="single" w:color="auto" w:sz="4" w:space="0"/>
            </w:tcBorders>
            <w:noWrap w:val="0"/>
            <w:vAlign w:val="center"/>
          </w:tcPr>
          <w:p w14:paraId="7CC633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面积符合土地利用类型</w:t>
            </w:r>
          </w:p>
        </w:tc>
        <w:tc>
          <w:tcPr>
            <w:tcW w:w="687" w:type="pct"/>
            <w:tcBorders>
              <w:top w:val="nil"/>
              <w:left w:val="nil"/>
              <w:bottom w:val="single" w:color="auto" w:sz="4" w:space="0"/>
              <w:right w:val="single" w:color="auto" w:sz="4" w:space="0"/>
            </w:tcBorders>
            <w:noWrap w:val="0"/>
            <w:vAlign w:val="center"/>
          </w:tcPr>
          <w:p w14:paraId="1A8592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面积适中，较符合土地利用类型</w:t>
            </w:r>
          </w:p>
        </w:tc>
        <w:tc>
          <w:tcPr>
            <w:tcW w:w="702" w:type="pct"/>
            <w:tcBorders>
              <w:top w:val="nil"/>
              <w:left w:val="nil"/>
              <w:bottom w:val="single" w:color="auto" w:sz="4" w:space="0"/>
              <w:right w:val="single" w:color="auto" w:sz="4" w:space="0"/>
            </w:tcBorders>
            <w:noWrap w:val="0"/>
            <w:vAlign w:val="center"/>
          </w:tcPr>
          <w:p w14:paraId="1BB80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面积偏大或偏小，对土地利用无不良影响</w:t>
            </w:r>
          </w:p>
        </w:tc>
        <w:tc>
          <w:tcPr>
            <w:tcW w:w="684" w:type="pct"/>
            <w:tcBorders>
              <w:top w:val="nil"/>
              <w:left w:val="nil"/>
              <w:bottom w:val="single" w:color="auto" w:sz="4" w:space="0"/>
              <w:right w:val="single" w:color="auto" w:sz="4" w:space="0"/>
            </w:tcBorders>
            <w:noWrap w:val="0"/>
            <w:vAlign w:val="center"/>
          </w:tcPr>
          <w:p w14:paraId="239B4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面积偏大或偏小，对土地利用有一定影响</w:t>
            </w:r>
          </w:p>
        </w:tc>
        <w:tc>
          <w:tcPr>
            <w:tcW w:w="782" w:type="pct"/>
            <w:tcBorders>
              <w:top w:val="nil"/>
              <w:left w:val="single" w:color="auto" w:sz="4" w:space="0"/>
              <w:bottom w:val="single" w:color="auto" w:sz="4" w:space="0"/>
              <w:right w:val="single" w:color="auto" w:sz="4" w:space="0"/>
            </w:tcBorders>
            <w:noWrap w:val="0"/>
            <w:vAlign w:val="center"/>
          </w:tcPr>
          <w:p w14:paraId="045A8B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面积过大或过小，不符合土地利用类型</w:t>
            </w:r>
          </w:p>
        </w:tc>
      </w:tr>
      <w:tr w14:paraId="141DE46D">
        <w:tblPrEx>
          <w:tblCellMar>
            <w:top w:w="0" w:type="dxa"/>
            <w:left w:w="108" w:type="dxa"/>
            <w:bottom w:w="0" w:type="dxa"/>
            <w:right w:w="108" w:type="dxa"/>
          </w:tblCellMar>
        </w:tblPrEx>
        <w:trPr>
          <w:trHeight w:val="283" w:hRule="atLeast"/>
          <w:jc w:val="center"/>
        </w:trPr>
        <w:tc>
          <w:tcPr>
            <w:tcW w:w="384" w:type="pct"/>
            <w:vMerge w:val="continue"/>
            <w:tcBorders>
              <w:left w:val="single" w:color="auto" w:sz="4" w:space="0"/>
              <w:bottom w:val="single" w:color="auto" w:sz="4" w:space="0"/>
              <w:right w:val="single" w:color="auto" w:sz="4" w:space="0"/>
            </w:tcBorders>
            <w:noWrap w:val="0"/>
            <w:vAlign w:val="center"/>
          </w:tcPr>
          <w:p w14:paraId="17F6D3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62" w:type="pct"/>
            <w:tcBorders>
              <w:top w:val="single" w:color="auto" w:sz="4" w:space="0"/>
              <w:left w:val="nil"/>
              <w:bottom w:val="single" w:color="auto" w:sz="4" w:space="0"/>
              <w:right w:val="single" w:color="auto" w:sz="4" w:space="0"/>
            </w:tcBorders>
            <w:noWrap w:val="0"/>
            <w:vAlign w:val="center"/>
          </w:tcPr>
          <w:p w14:paraId="1663C5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工程地质</w:t>
            </w:r>
          </w:p>
        </w:tc>
        <w:tc>
          <w:tcPr>
            <w:tcW w:w="796" w:type="pct"/>
            <w:tcBorders>
              <w:top w:val="single" w:color="auto" w:sz="4" w:space="0"/>
              <w:left w:val="nil"/>
              <w:bottom w:val="single" w:color="auto" w:sz="4" w:space="0"/>
              <w:right w:val="single" w:color="auto" w:sz="4" w:space="0"/>
            </w:tcBorders>
            <w:noWrap w:val="0"/>
            <w:vAlign w:val="center"/>
          </w:tcPr>
          <w:p w14:paraId="52780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地质承载力强，利于建设</w:t>
            </w:r>
          </w:p>
        </w:tc>
        <w:tc>
          <w:tcPr>
            <w:tcW w:w="687" w:type="pct"/>
            <w:tcBorders>
              <w:top w:val="single" w:color="auto" w:sz="4" w:space="0"/>
              <w:left w:val="nil"/>
              <w:bottom w:val="single" w:color="auto" w:sz="4" w:space="0"/>
              <w:right w:val="single" w:color="auto" w:sz="4" w:space="0"/>
            </w:tcBorders>
            <w:noWrap w:val="0"/>
            <w:vAlign w:val="center"/>
          </w:tcPr>
          <w:p w14:paraId="0B18E4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地质承载力较强，利于建设</w:t>
            </w:r>
          </w:p>
        </w:tc>
        <w:tc>
          <w:tcPr>
            <w:tcW w:w="702" w:type="pct"/>
            <w:tcBorders>
              <w:top w:val="single" w:color="auto" w:sz="4" w:space="0"/>
              <w:left w:val="nil"/>
              <w:bottom w:val="single" w:color="auto" w:sz="4" w:space="0"/>
              <w:right w:val="single" w:color="auto" w:sz="4" w:space="0"/>
            </w:tcBorders>
            <w:noWrap w:val="0"/>
            <w:vAlign w:val="center"/>
          </w:tcPr>
          <w:p w14:paraId="03617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无不良地质现象</w:t>
            </w:r>
          </w:p>
        </w:tc>
        <w:tc>
          <w:tcPr>
            <w:tcW w:w="684" w:type="pct"/>
            <w:tcBorders>
              <w:top w:val="single" w:color="auto" w:sz="4" w:space="0"/>
              <w:left w:val="nil"/>
              <w:bottom w:val="single" w:color="auto" w:sz="4" w:space="0"/>
              <w:right w:val="single" w:color="auto" w:sz="4" w:space="0"/>
            </w:tcBorders>
            <w:noWrap w:val="0"/>
            <w:vAlign w:val="center"/>
          </w:tcPr>
          <w:p w14:paraId="6F0EB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有不良地质状况，但无需特殊处理</w:t>
            </w:r>
          </w:p>
        </w:tc>
        <w:tc>
          <w:tcPr>
            <w:tcW w:w="782" w:type="pct"/>
            <w:tcBorders>
              <w:top w:val="single" w:color="auto" w:sz="4" w:space="0"/>
              <w:left w:val="nil"/>
              <w:bottom w:val="single" w:color="auto" w:sz="4" w:space="0"/>
              <w:right w:val="single" w:color="auto" w:sz="4" w:space="0"/>
            </w:tcBorders>
            <w:noWrap w:val="0"/>
            <w:vAlign w:val="center"/>
          </w:tcPr>
          <w:p w14:paraId="44D06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并需特殊处理</w:t>
            </w:r>
          </w:p>
        </w:tc>
      </w:tr>
    </w:tbl>
    <w:p w14:paraId="34F38F7F">
      <w:pPr>
        <w:rPr>
          <w:rFonts w:hint="eastAsia" w:ascii="Times New Roman" w:hAnsi="Times New Roman" w:eastAsia="仿宋" w:cs="仿宋"/>
          <w:b w:val="0"/>
          <w:bCs/>
          <w:caps w:val="0"/>
          <w:smallCaps w:val="0"/>
          <w:color w:val="auto"/>
          <w:sz w:val="28"/>
          <w:szCs w:val="28"/>
          <w:highlight w:val="none"/>
        </w:rPr>
      </w:pPr>
      <w:r>
        <w:rPr>
          <w:rFonts w:hint="eastAsia" w:ascii="Times New Roman" w:hAnsi="Times New Roman" w:eastAsia="仿宋" w:cs="仿宋"/>
          <w:b w:val="0"/>
          <w:bCs/>
          <w:caps w:val="0"/>
          <w:smallCaps w:val="0"/>
          <w:color w:val="auto"/>
          <w:sz w:val="28"/>
          <w:szCs w:val="28"/>
          <w:highlight w:val="none"/>
        </w:rPr>
        <w:br w:type="page"/>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8"/>
        <w:gridCol w:w="1041"/>
        <w:gridCol w:w="1228"/>
        <w:gridCol w:w="1276"/>
        <w:gridCol w:w="1228"/>
        <w:gridCol w:w="1289"/>
        <w:gridCol w:w="1329"/>
      </w:tblGrid>
      <w:tr w14:paraId="799A3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9" w:hRule="atLeast"/>
          <w:jc w:val="center"/>
        </w:trPr>
        <w:tc>
          <w:tcPr>
            <w:tcW w:w="5000" w:type="pct"/>
            <w:gridSpan w:val="7"/>
            <w:tcBorders>
              <w:top w:val="nil"/>
              <w:left w:val="nil"/>
              <w:bottom w:val="nil"/>
              <w:right w:val="nil"/>
            </w:tcBorders>
            <w:shd w:val="clear" w:color="auto" w:fill="auto"/>
            <w:noWrap/>
            <w:vAlign w:val="center"/>
          </w:tcPr>
          <w:p w14:paraId="139B10C2">
            <w:pPr>
              <w:jc w:val="center"/>
              <w:rPr>
                <w:rFonts w:hint="eastAsia" w:ascii="Times New Roman" w:hAnsi="Times New Roman" w:eastAsia="仿宋" w:cs="仿宋"/>
                <w:i w:val="0"/>
                <w:iCs w:val="0"/>
                <w:caps w:val="0"/>
                <w:smallCaps w:val="0"/>
                <w:color w:val="auto"/>
                <w:sz w:val="24"/>
                <w:szCs w:val="24"/>
                <w:highlight w:val="none"/>
                <w:u w:val="none"/>
              </w:rPr>
            </w:pPr>
            <w:r>
              <w:rPr>
                <w:rFonts w:hint="eastAsia" w:ascii="Times New Roman" w:hAnsi="Times New Roman" w:eastAsia="仿宋" w:cs="仿宋"/>
                <w:b w:val="0"/>
                <w:bCs/>
                <w:caps w:val="0"/>
                <w:smallCaps w:val="0"/>
                <w:color w:val="auto"/>
                <w:sz w:val="24"/>
                <w:szCs w:val="24"/>
                <w:highlight w:val="none"/>
              </w:rPr>
              <w:br w:type="page"/>
            </w:r>
            <w:bookmarkStart w:id="40" w:name="_Toc3644"/>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2-12</w:t>
            </w:r>
            <w:r>
              <w:rPr>
                <w:rFonts w:hint="eastAsia" w:ascii="Times New Roman" w:hAnsi="Times New Roman" w:eastAsia="仿宋" w:cs="仿宋"/>
                <w:b/>
                <w:caps w:val="0"/>
                <w:smallCaps w:val="0"/>
                <w:color w:val="auto"/>
                <w:sz w:val="24"/>
                <w:szCs w:val="24"/>
                <w:highlight w:val="none"/>
                <w:lang w:val="en-US" w:eastAsia="zh-CN"/>
              </w:rPr>
              <w:t xml:space="preserve">   Ⅰ级工矿用地地价地价影响因素指标说明表</w:t>
            </w:r>
            <w:bookmarkEnd w:id="40"/>
          </w:p>
        </w:tc>
      </w:tr>
      <w:tr w14:paraId="35B00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29AF1">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C3CA">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DCF5">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30D2">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6D23A">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1623">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D250">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7A358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95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9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0.18</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86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0.0270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C3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0.0135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2C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F3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-0.0068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11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-0.0135 </w:t>
            </w:r>
          </w:p>
        </w:tc>
      </w:tr>
      <w:tr w14:paraId="4998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34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506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0.15</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64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0.0225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E71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16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2B5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E1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r>
      <w:tr w14:paraId="36E1C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16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34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0.12</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686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0.0180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23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0.0090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B98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9C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-0.0045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47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-0.0090 </w:t>
            </w:r>
          </w:p>
        </w:tc>
      </w:tr>
      <w:tr w14:paraId="475E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8A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E38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C7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0.0165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6AC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13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D4F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-0.0041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94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r>
      <w:tr w14:paraId="11A9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A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产业集聚度</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383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33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0.0195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7D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D58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6D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-0.0049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CE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r>
      <w:tr w14:paraId="4F0D5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85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C8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0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0.0165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6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24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5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-0.0041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B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-0.0083 </w:t>
            </w:r>
          </w:p>
        </w:tc>
      </w:tr>
      <w:tr w14:paraId="0E393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78E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28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126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53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B37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93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DD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r>
      <w:tr w14:paraId="28AA1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218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工程地质</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D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74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DA2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A9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E15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FE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r>
      <w:tr w14:paraId="386D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jc w:val="center"/>
        </w:trPr>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E0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F75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0.18</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FA3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0.0270 </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E2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0.0135 </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23F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9A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-0.0068 </w:t>
            </w:r>
          </w:p>
        </w:tc>
        <w:tc>
          <w:tcPr>
            <w:tcW w:w="7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58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-0.0135 </w:t>
            </w:r>
          </w:p>
        </w:tc>
      </w:tr>
    </w:tbl>
    <w:p w14:paraId="586A8A6B">
      <w:pPr>
        <w:jc w:val="center"/>
        <w:rPr>
          <w:rFonts w:hint="eastAsia" w:ascii="Times New Roman" w:hAnsi="Times New Roman" w:eastAsia="仿宋" w:cs="仿宋"/>
          <w:caps w:val="0"/>
          <w:smallCaps w:val="0"/>
          <w:color w:val="auto"/>
          <w:highlight w:val="none"/>
          <w:lang w:eastAsia="zh-CN"/>
        </w:rPr>
      </w:pPr>
      <w:bookmarkStart w:id="41" w:name="_Toc25106"/>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2-13</w:t>
      </w:r>
      <w:r>
        <w:rPr>
          <w:rFonts w:hint="eastAsia" w:ascii="Times New Roman" w:hAnsi="Times New Roman" w:eastAsia="仿宋" w:cs="仿宋"/>
          <w:b/>
          <w:caps w:val="0"/>
          <w:smallCaps w:val="0"/>
          <w:color w:val="auto"/>
          <w:sz w:val="24"/>
          <w:highlight w:val="none"/>
        </w:rPr>
        <w:t xml:space="preserve">  </w:t>
      </w:r>
      <w:r>
        <w:rPr>
          <w:rFonts w:hint="eastAsia" w:ascii="Times New Roman" w:hAnsi="Times New Roman" w:eastAsia="仿宋" w:cs="仿宋"/>
          <w:b/>
          <w:caps w:val="0"/>
          <w:smallCaps w:val="0"/>
          <w:color w:val="auto"/>
          <w:sz w:val="24"/>
          <w:highlight w:val="none"/>
          <w:lang w:val="en-US" w:eastAsia="zh-CN"/>
        </w:rPr>
        <w:t>Ⅱ</w:t>
      </w:r>
      <w:r>
        <w:rPr>
          <w:rFonts w:hint="eastAsia" w:ascii="Times New Roman" w:hAnsi="Times New Roman" w:eastAsia="仿宋" w:cs="仿宋"/>
          <w:b/>
          <w:caps w:val="0"/>
          <w:smallCaps w:val="0"/>
          <w:color w:val="auto"/>
          <w:sz w:val="24"/>
          <w:highlight w:val="none"/>
        </w:rPr>
        <w:t>级</w:t>
      </w:r>
      <w:r>
        <w:rPr>
          <w:rFonts w:hint="eastAsia" w:ascii="Times New Roman" w:hAnsi="Times New Roman" w:eastAsia="仿宋" w:cs="仿宋"/>
          <w:b/>
          <w:caps w:val="0"/>
          <w:smallCaps w:val="0"/>
          <w:color w:val="auto"/>
          <w:sz w:val="24"/>
          <w:highlight w:val="none"/>
          <w:lang w:eastAsia="zh-CN"/>
        </w:rPr>
        <w:t>工矿</w:t>
      </w:r>
      <w:r>
        <w:rPr>
          <w:rFonts w:hint="eastAsia" w:ascii="Times New Roman" w:hAnsi="Times New Roman" w:eastAsia="仿宋" w:cs="仿宋"/>
          <w:b/>
          <w:caps w:val="0"/>
          <w:smallCaps w:val="0"/>
          <w:color w:val="auto"/>
          <w:sz w:val="24"/>
          <w:highlight w:val="none"/>
        </w:rPr>
        <w:t>用地地价</w:t>
      </w:r>
      <w:r>
        <w:rPr>
          <w:rFonts w:hint="eastAsia" w:ascii="Times New Roman" w:hAnsi="Times New Roman" w:eastAsia="仿宋" w:cs="仿宋"/>
          <w:b/>
          <w:caps w:val="0"/>
          <w:smallCaps w:val="0"/>
          <w:color w:val="auto"/>
          <w:sz w:val="24"/>
          <w:highlight w:val="none"/>
          <w:lang w:eastAsia="zh-CN"/>
        </w:rPr>
        <w:t>地价影响因素指标说明表</w:t>
      </w:r>
      <w:bookmarkEnd w:id="41"/>
    </w:p>
    <w:tbl>
      <w:tblPr>
        <w:tblStyle w:val="14"/>
        <w:tblW w:w="5000" w:type="pct"/>
        <w:jc w:val="center"/>
        <w:tblLayout w:type="autofit"/>
        <w:tblCellMar>
          <w:top w:w="0" w:type="dxa"/>
          <w:left w:w="108" w:type="dxa"/>
          <w:bottom w:w="0" w:type="dxa"/>
          <w:right w:w="108" w:type="dxa"/>
        </w:tblCellMar>
      </w:tblPr>
      <w:tblGrid>
        <w:gridCol w:w="682"/>
        <w:gridCol w:w="1708"/>
        <w:gridCol w:w="1413"/>
        <w:gridCol w:w="1221"/>
        <w:gridCol w:w="1246"/>
        <w:gridCol w:w="1214"/>
        <w:gridCol w:w="1235"/>
      </w:tblGrid>
      <w:tr w14:paraId="3DAC2CD8">
        <w:tblPrEx>
          <w:tblCellMar>
            <w:top w:w="0" w:type="dxa"/>
            <w:left w:w="108" w:type="dxa"/>
            <w:bottom w:w="0" w:type="dxa"/>
            <w:right w:w="108" w:type="dxa"/>
          </w:tblCellMar>
        </w:tblPrEx>
        <w:trPr>
          <w:trHeight w:val="283" w:hRule="atLeast"/>
          <w:jc w:val="center"/>
        </w:trPr>
        <w:tc>
          <w:tcPr>
            <w:tcW w:w="2391" w:type="dxa"/>
            <w:gridSpan w:val="2"/>
            <w:tcBorders>
              <w:top w:val="single" w:color="auto" w:sz="4" w:space="0"/>
              <w:left w:val="single" w:color="auto" w:sz="4" w:space="0"/>
              <w:bottom w:val="single" w:color="auto" w:sz="4" w:space="0"/>
              <w:right w:val="single" w:color="auto" w:sz="4" w:space="0"/>
            </w:tcBorders>
            <w:noWrap w:val="0"/>
            <w:vAlign w:val="center"/>
          </w:tcPr>
          <w:p w14:paraId="7BAD766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413" w:type="dxa"/>
            <w:tcBorders>
              <w:top w:val="single" w:color="auto" w:sz="4" w:space="0"/>
              <w:left w:val="nil"/>
              <w:bottom w:val="single" w:color="auto" w:sz="4" w:space="0"/>
              <w:right w:val="single" w:color="auto" w:sz="4" w:space="0"/>
            </w:tcBorders>
            <w:noWrap w:val="0"/>
            <w:vAlign w:val="center"/>
          </w:tcPr>
          <w:p w14:paraId="48D73CE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221" w:type="dxa"/>
            <w:tcBorders>
              <w:top w:val="single" w:color="auto" w:sz="4" w:space="0"/>
              <w:left w:val="nil"/>
              <w:bottom w:val="single" w:color="auto" w:sz="4" w:space="0"/>
              <w:right w:val="single" w:color="auto" w:sz="4" w:space="0"/>
            </w:tcBorders>
            <w:noWrap w:val="0"/>
            <w:vAlign w:val="center"/>
          </w:tcPr>
          <w:p w14:paraId="5DBDB02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247" w:type="dxa"/>
            <w:tcBorders>
              <w:top w:val="single" w:color="auto" w:sz="4" w:space="0"/>
              <w:left w:val="nil"/>
              <w:bottom w:val="single" w:color="auto" w:sz="4" w:space="0"/>
              <w:right w:val="single" w:color="auto" w:sz="4" w:space="0"/>
            </w:tcBorders>
            <w:noWrap w:val="0"/>
            <w:vAlign w:val="center"/>
          </w:tcPr>
          <w:p w14:paraId="3F3E875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214" w:type="dxa"/>
            <w:tcBorders>
              <w:top w:val="single" w:color="auto" w:sz="4" w:space="0"/>
              <w:left w:val="nil"/>
              <w:bottom w:val="single" w:color="auto" w:sz="4" w:space="0"/>
              <w:right w:val="single" w:color="auto" w:sz="4" w:space="0"/>
            </w:tcBorders>
            <w:noWrap w:val="0"/>
            <w:vAlign w:val="center"/>
          </w:tcPr>
          <w:p w14:paraId="3A12B4E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235" w:type="dxa"/>
            <w:tcBorders>
              <w:top w:val="single" w:color="auto" w:sz="4" w:space="0"/>
              <w:left w:val="nil"/>
              <w:bottom w:val="single" w:color="auto" w:sz="4" w:space="0"/>
              <w:right w:val="single" w:color="auto" w:sz="4" w:space="0"/>
            </w:tcBorders>
            <w:noWrap w:val="0"/>
            <w:vAlign w:val="center"/>
          </w:tcPr>
          <w:p w14:paraId="176911A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3924AB14">
        <w:tblPrEx>
          <w:tblCellMar>
            <w:top w:w="0" w:type="dxa"/>
            <w:left w:w="108" w:type="dxa"/>
            <w:bottom w:w="0" w:type="dxa"/>
            <w:right w:w="108" w:type="dxa"/>
          </w:tblCellMar>
        </w:tblPrEx>
        <w:trPr>
          <w:trHeight w:val="283" w:hRule="atLeast"/>
          <w:jc w:val="center"/>
        </w:trPr>
        <w:tc>
          <w:tcPr>
            <w:tcW w:w="391" w:type="pct"/>
            <w:vMerge w:val="restart"/>
            <w:tcBorders>
              <w:top w:val="nil"/>
              <w:left w:val="single" w:color="auto" w:sz="4" w:space="0"/>
              <w:bottom w:val="single" w:color="auto" w:sz="4" w:space="0"/>
              <w:right w:val="single" w:color="auto" w:sz="4" w:space="0"/>
            </w:tcBorders>
            <w:noWrap w:val="0"/>
            <w:vAlign w:val="center"/>
          </w:tcPr>
          <w:p w14:paraId="59B0A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1141A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979" w:type="pct"/>
            <w:tcBorders>
              <w:top w:val="nil"/>
              <w:left w:val="nil"/>
              <w:bottom w:val="single" w:color="auto" w:sz="4" w:space="0"/>
              <w:right w:val="single" w:color="auto" w:sz="4" w:space="0"/>
            </w:tcBorders>
            <w:noWrap w:val="0"/>
            <w:vAlign w:val="center"/>
          </w:tcPr>
          <w:p w14:paraId="6783C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道路通达度</w:t>
            </w:r>
          </w:p>
        </w:tc>
        <w:tc>
          <w:tcPr>
            <w:tcW w:w="810" w:type="pct"/>
            <w:tcBorders>
              <w:top w:val="nil"/>
              <w:left w:val="nil"/>
              <w:bottom w:val="single" w:color="auto" w:sz="4" w:space="0"/>
              <w:right w:val="single" w:color="auto" w:sz="4" w:space="0"/>
            </w:tcBorders>
            <w:noWrap w:val="0"/>
            <w:vAlign w:val="center"/>
          </w:tcPr>
          <w:p w14:paraId="6377A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区域内有主、次干道通过，道路通达度好</w:t>
            </w:r>
          </w:p>
        </w:tc>
        <w:tc>
          <w:tcPr>
            <w:tcW w:w="700" w:type="pct"/>
            <w:tcBorders>
              <w:top w:val="nil"/>
              <w:left w:val="nil"/>
              <w:bottom w:val="single" w:color="auto" w:sz="4" w:space="0"/>
              <w:right w:val="single" w:color="auto" w:sz="4" w:space="0"/>
            </w:tcBorders>
            <w:noWrap w:val="0"/>
            <w:vAlign w:val="center"/>
          </w:tcPr>
          <w:p w14:paraId="1C9346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区域内有主干道通过，道路通达度较好</w:t>
            </w:r>
          </w:p>
        </w:tc>
        <w:tc>
          <w:tcPr>
            <w:tcW w:w="714" w:type="pct"/>
            <w:tcBorders>
              <w:top w:val="nil"/>
              <w:left w:val="nil"/>
              <w:bottom w:val="single" w:color="auto" w:sz="4" w:space="0"/>
              <w:right w:val="single" w:color="auto" w:sz="4" w:space="0"/>
            </w:tcBorders>
            <w:noWrap w:val="0"/>
            <w:vAlign w:val="center"/>
          </w:tcPr>
          <w:p w14:paraId="5C2C75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区域内有次干道通过，道路通达性一般</w:t>
            </w:r>
          </w:p>
        </w:tc>
        <w:tc>
          <w:tcPr>
            <w:tcW w:w="696" w:type="pct"/>
            <w:tcBorders>
              <w:top w:val="nil"/>
              <w:left w:val="nil"/>
              <w:bottom w:val="single" w:color="auto" w:sz="4" w:space="0"/>
              <w:right w:val="single" w:color="auto" w:sz="4" w:space="0"/>
            </w:tcBorders>
            <w:noWrap w:val="0"/>
            <w:vAlign w:val="center"/>
          </w:tcPr>
          <w:p w14:paraId="73C44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区域内有支路通过，道路通达性较差</w:t>
            </w:r>
          </w:p>
        </w:tc>
        <w:tc>
          <w:tcPr>
            <w:tcW w:w="708" w:type="pct"/>
            <w:tcBorders>
              <w:top w:val="nil"/>
              <w:left w:val="nil"/>
              <w:bottom w:val="single" w:color="auto" w:sz="4" w:space="0"/>
              <w:right w:val="single" w:color="auto" w:sz="4" w:space="0"/>
            </w:tcBorders>
            <w:noWrap w:val="0"/>
            <w:vAlign w:val="center"/>
          </w:tcPr>
          <w:p w14:paraId="3DE3C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区域内以巷道为主，道路通达性差</w:t>
            </w:r>
          </w:p>
        </w:tc>
      </w:tr>
      <w:tr w14:paraId="43CA85E6">
        <w:tblPrEx>
          <w:tblCellMar>
            <w:top w:w="0" w:type="dxa"/>
            <w:left w:w="108" w:type="dxa"/>
            <w:bottom w:w="0" w:type="dxa"/>
            <w:right w:w="108" w:type="dxa"/>
          </w:tblCellMar>
        </w:tblPrEx>
        <w:trPr>
          <w:trHeight w:val="283" w:hRule="atLeast"/>
          <w:jc w:val="center"/>
        </w:trPr>
        <w:tc>
          <w:tcPr>
            <w:tcW w:w="391" w:type="pct"/>
            <w:vMerge w:val="continue"/>
            <w:tcBorders>
              <w:top w:val="nil"/>
              <w:left w:val="single" w:color="auto" w:sz="4" w:space="0"/>
              <w:bottom w:val="single" w:color="auto" w:sz="4" w:space="0"/>
              <w:right w:val="single" w:color="auto" w:sz="4" w:space="0"/>
            </w:tcBorders>
            <w:noWrap w:val="0"/>
            <w:vAlign w:val="center"/>
          </w:tcPr>
          <w:p w14:paraId="098F30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53CE5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810" w:type="pct"/>
            <w:tcBorders>
              <w:top w:val="nil"/>
              <w:left w:val="nil"/>
              <w:bottom w:val="single" w:color="auto" w:sz="4" w:space="0"/>
              <w:right w:val="single" w:color="auto" w:sz="4" w:space="0"/>
            </w:tcBorders>
            <w:noWrap w:val="0"/>
            <w:vAlign w:val="center"/>
          </w:tcPr>
          <w:p w14:paraId="766AC4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700" w:type="pct"/>
            <w:tcBorders>
              <w:top w:val="nil"/>
              <w:left w:val="nil"/>
              <w:bottom w:val="single" w:color="auto" w:sz="4" w:space="0"/>
              <w:right w:val="single" w:color="auto" w:sz="4" w:space="0"/>
            </w:tcBorders>
            <w:noWrap w:val="0"/>
            <w:vAlign w:val="center"/>
          </w:tcPr>
          <w:p w14:paraId="2DAC6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14" w:type="pct"/>
            <w:tcBorders>
              <w:top w:val="nil"/>
              <w:left w:val="nil"/>
              <w:bottom w:val="single" w:color="auto" w:sz="4" w:space="0"/>
              <w:right w:val="single" w:color="auto" w:sz="4" w:space="0"/>
            </w:tcBorders>
            <w:noWrap w:val="0"/>
            <w:vAlign w:val="center"/>
          </w:tcPr>
          <w:p w14:paraId="45423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696" w:type="pct"/>
            <w:tcBorders>
              <w:top w:val="nil"/>
              <w:left w:val="nil"/>
              <w:bottom w:val="single" w:color="auto" w:sz="4" w:space="0"/>
              <w:right w:val="single" w:color="auto" w:sz="4" w:space="0"/>
            </w:tcBorders>
            <w:noWrap w:val="0"/>
            <w:vAlign w:val="center"/>
          </w:tcPr>
          <w:p w14:paraId="08500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708" w:type="pct"/>
            <w:tcBorders>
              <w:top w:val="nil"/>
              <w:left w:val="nil"/>
              <w:bottom w:val="single" w:color="auto" w:sz="4" w:space="0"/>
              <w:right w:val="single" w:color="auto" w:sz="4" w:space="0"/>
            </w:tcBorders>
            <w:noWrap w:val="0"/>
            <w:vAlign w:val="center"/>
          </w:tcPr>
          <w:p w14:paraId="216A98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5313D958">
        <w:tblPrEx>
          <w:tblCellMar>
            <w:top w:w="0" w:type="dxa"/>
            <w:left w:w="108" w:type="dxa"/>
            <w:bottom w:w="0" w:type="dxa"/>
            <w:right w:w="108" w:type="dxa"/>
          </w:tblCellMar>
        </w:tblPrEx>
        <w:trPr>
          <w:trHeight w:val="283" w:hRule="atLeast"/>
          <w:jc w:val="center"/>
        </w:trPr>
        <w:tc>
          <w:tcPr>
            <w:tcW w:w="391" w:type="pct"/>
            <w:vMerge w:val="continue"/>
            <w:tcBorders>
              <w:top w:val="nil"/>
              <w:left w:val="single" w:color="auto" w:sz="4" w:space="0"/>
              <w:bottom w:val="single" w:color="auto" w:sz="4" w:space="0"/>
              <w:right w:val="single" w:color="auto" w:sz="4" w:space="0"/>
            </w:tcBorders>
            <w:noWrap w:val="0"/>
            <w:vAlign w:val="center"/>
          </w:tcPr>
          <w:p w14:paraId="53E25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32DCD4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货运站</w:t>
            </w:r>
            <w:r>
              <w:rPr>
                <w:rFonts w:hint="default" w:ascii="Times New Roman" w:hAnsi="Times New Roman" w:eastAsia="仿宋" w:cs="仿宋"/>
                <w:b w:val="0"/>
                <w:bCs w:val="0"/>
                <w:caps w:val="0"/>
                <w:smallCaps w:val="0"/>
                <w:color w:val="auto"/>
                <w:sz w:val="21"/>
                <w:szCs w:val="21"/>
                <w:highlight w:val="none"/>
                <w:lang w:val="en-US" w:eastAsia="zh-CN"/>
              </w:rPr>
              <w:t>/</w:t>
            </w:r>
            <w:r>
              <w:rPr>
                <w:rFonts w:hint="eastAsia" w:ascii="Times New Roman" w:hAnsi="Times New Roman" w:eastAsia="仿宋" w:cs="仿宋"/>
                <w:b w:val="0"/>
                <w:bCs w:val="0"/>
                <w:caps w:val="0"/>
                <w:smallCaps w:val="0"/>
                <w:color w:val="auto"/>
                <w:sz w:val="21"/>
                <w:szCs w:val="21"/>
                <w:highlight w:val="none"/>
                <w:lang w:val="en-US" w:eastAsia="zh-CN"/>
              </w:rPr>
              <w:t>物流园区</w:t>
            </w:r>
          </w:p>
        </w:tc>
        <w:tc>
          <w:tcPr>
            <w:tcW w:w="810" w:type="pct"/>
            <w:tcBorders>
              <w:top w:val="nil"/>
              <w:left w:val="nil"/>
              <w:bottom w:val="single" w:color="auto" w:sz="4" w:space="0"/>
              <w:right w:val="single" w:color="auto" w:sz="4" w:space="0"/>
            </w:tcBorders>
            <w:shd w:val="clear" w:color="auto" w:fill="auto"/>
            <w:noWrap w:val="0"/>
            <w:vAlign w:val="center"/>
          </w:tcPr>
          <w:p w14:paraId="083912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0</w:t>
            </w:r>
            <w:r>
              <w:rPr>
                <w:rFonts w:hint="eastAsia" w:ascii="Times New Roman" w:hAnsi="Times New Roman" w:eastAsia="仿宋" w:cs="仿宋"/>
                <w:b w:val="0"/>
                <w:bCs w:val="0"/>
                <w:caps w:val="0"/>
                <w:smallCaps w:val="0"/>
                <w:color w:val="auto"/>
                <w:sz w:val="21"/>
                <w:szCs w:val="21"/>
                <w:highlight w:val="none"/>
                <w:lang w:val="en-US" w:eastAsia="zh-CN"/>
              </w:rPr>
              <w:t>，10</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700" w:type="pct"/>
            <w:tcBorders>
              <w:top w:val="nil"/>
              <w:left w:val="nil"/>
              <w:bottom w:val="single" w:color="auto" w:sz="4" w:space="0"/>
              <w:right w:val="single" w:color="auto" w:sz="4" w:space="0"/>
            </w:tcBorders>
            <w:shd w:val="clear" w:color="auto" w:fill="auto"/>
            <w:noWrap w:val="0"/>
            <w:vAlign w:val="center"/>
          </w:tcPr>
          <w:p w14:paraId="3358A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，13</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714" w:type="pct"/>
            <w:tcBorders>
              <w:top w:val="nil"/>
              <w:left w:val="nil"/>
              <w:bottom w:val="single" w:color="auto" w:sz="4" w:space="0"/>
              <w:right w:val="single" w:color="auto" w:sz="4" w:space="0"/>
            </w:tcBorders>
            <w:shd w:val="clear" w:color="auto" w:fill="auto"/>
            <w:noWrap w:val="0"/>
            <w:vAlign w:val="center"/>
          </w:tcPr>
          <w:p w14:paraId="386292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696" w:type="pct"/>
            <w:tcBorders>
              <w:top w:val="nil"/>
              <w:left w:val="nil"/>
              <w:bottom w:val="single" w:color="auto" w:sz="4" w:space="0"/>
              <w:right w:val="single" w:color="auto" w:sz="4" w:space="0"/>
            </w:tcBorders>
            <w:shd w:val="clear" w:color="auto" w:fill="auto"/>
            <w:noWrap w:val="0"/>
            <w:vAlign w:val="center"/>
          </w:tcPr>
          <w:p w14:paraId="6C67F5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w:t>
            </w:r>
            <w:r>
              <w:rPr>
                <w:rFonts w:hint="eastAsia" w:ascii="Times New Roman" w:hAnsi="Times New Roman" w:eastAsia="仿宋" w:cs="仿宋"/>
                <w:b w:val="0"/>
                <w:bCs w:val="0"/>
                <w:caps w:val="0"/>
                <w:smallCaps w:val="0"/>
                <w:color w:val="auto"/>
                <w:sz w:val="21"/>
                <w:szCs w:val="21"/>
                <w:highlight w:val="none"/>
                <w:lang w:val="en-US" w:eastAsia="zh-CN"/>
              </w:rPr>
              <w:t>6</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，20</w:t>
            </w:r>
            <w:r>
              <w:rPr>
                <w:rFonts w:hint="default" w:ascii="Times New Roman" w:hAnsi="Times New Roman" w:eastAsia="仿宋" w:cs="仿宋"/>
                <w:b w:val="0"/>
                <w:bCs w:val="0"/>
                <w:caps w:val="0"/>
                <w:smallCaps w:val="0"/>
                <w:color w:val="auto"/>
                <w:sz w:val="21"/>
                <w:szCs w:val="21"/>
                <w:highlight w:val="none"/>
                <w:lang w:val="en-US" w:eastAsia="zh-CN"/>
              </w:rPr>
              <w:t>00</w:t>
            </w:r>
            <w:r>
              <w:rPr>
                <w:rFonts w:hint="eastAsia" w:ascii="Times New Roman" w:hAnsi="Times New Roman" w:eastAsia="仿宋" w:cs="仿宋"/>
                <w:b w:val="0"/>
                <w:bCs w:val="0"/>
                <w:caps w:val="0"/>
                <w:smallCaps w:val="0"/>
                <w:color w:val="auto"/>
                <w:sz w:val="21"/>
                <w:szCs w:val="21"/>
                <w:highlight w:val="none"/>
                <w:lang w:val="en-US" w:eastAsia="zh-CN"/>
              </w:rPr>
              <w:t>）米</w:t>
            </w:r>
          </w:p>
        </w:tc>
        <w:tc>
          <w:tcPr>
            <w:tcW w:w="708" w:type="pct"/>
            <w:tcBorders>
              <w:top w:val="nil"/>
              <w:left w:val="nil"/>
              <w:bottom w:val="single" w:color="auto" w:sz="4" w:space="0"/>
              <w:right w:val="single" w:color="auto" w:sz="4" w:space="0"/>
            </w:tcBorders>
            <w:shd w:val="clear" w:color="auto" w:fill="auto"/>
            <w:noWrap w:val="0"/>
            <w:vAlign w:val="center"/>
          </w:tcPr>
          <w:p w14:paraId="330F06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r>
              <w:rPr>
                <w:rFonts w:hint="default" w:ascii="Times New Roman" w:hAnsi="Times New Roman" w:eastAsia="仿宋" w:cs="仿宋"/>
                <w:b w:val="0"/>
                <w:bCs w:val="0"/>
                <w:caps w:val="0"/>
                <w:smallCaps w:val="0"/>
                <w:color w:val="auto"/>
                <w:sz w:val="21"/>
                <w:szCs w:val="21"/>
                <w:highlight w:val="none"/>
                <w:lang w:val="en-US" w:eastAsia="zh-CN"/>
              </w:rPr>
              <w:t>00</w:t>
            </w:r>
          </w:p>
        </w:tc>
      </w:tr>
      <w:tr w14:paraId="109823F1">
        <w:tblPrEx>
          <w:tblCellMar>
            <w:top w:w="0" w:type="dxa"/>
            <w:left w:w="108" w:type="dxa"/>
            <w:bottom w:w="0" w:type="dxa"/>
            <w:right w:w="108" w:type="dxa"/>
          </w:tblCellMar>
        </w:tblPrEx>
        <w:trPr>
          <w:trHeight w:val="283" w:hRule="atLeast"/>
          <w:jc w:val="center"/>
        </w:trPr>
        <w:tc>
          <w:tcPr>
            <w:tcW w:w="391" w:type="pct"/>
            <w:vMerge w:val="continue"/>
            <w:tcBorders>
              <w:top w:val="nil"/>
              <w:left w:val="single" w:color="auto" w:sz="4" w:space="0"/>
              <w:bottom w:val="single" w:color="auto" w:sz="4" w:space="0"/>
              <w:right w:val="single" w:color="auto" w:sz="4" w:space="0"/>
            </w:tcBorders>
            <w:noWrap w:val="0"/>
            <w:vAlign w:val="center"/>
          </w:tcPr>
          <w:p w14:paraId="12582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3F8A0A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810" w:type="pct"/>
            <w:tcBorders>
              <w:top w:val="nil"/>
              <w:left w:val="nil"/>
              <w:bottom w:val="single" w:color="auto" w:sz="4" w:space="0"/>
              <w:right w:val="single" w:color="auto" w:sz="4" w:space="0"/>
            </w:tcBorders>
            <w:noWrap w:val="0"/>
            <w:vAlign w:val="center"/>
          </w:tcPr>
          <w:p w14:paraId="47A30C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700" w:type="pct"/>
            <w:tcBorders>
              <w:top w:val="nil"/>
              <w:left w:val="nil"/>
              <w:bottom w:val="single" w:color="auto" w:sz="4" w:space="0"/>
              <w:right w:val="single" w:color="auto" w:sz="4" w:space="0"/>
            </w:tcBorders>
            <w:noWrap w:val="0"/>
            <w:vAlign w:val="center"/>
          </w:tcPr>
          <w:p w14:paraId="5F9332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714" w:type="pct"/>
            <w:tcBorders>
              <w:top w:val="nil"/>
              <w:left w:val="nil"/>
              <w:bottom w:val="single" w:color="auto" w:sz="4" w:space="0"/>
              <w:right w:val="single" w:color="auto" w:sz="4" w:space="0"/>
            </w:tcBorders>
            <w:noWrap w:val="0"/>
            <w:vAlign w:val="center"/>
          </w:tcPr>
          <w:p w14:paraId="37DD2C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696" w:type="pct"/>
            <w:tcBorders>
              <w:top w:val="nil"/>
              <w:left w:val="nil"/>
              <w:bottom w:val="single" w:color="auto" w:sz="4" w:space="0"/>
              <w:right w:val="single" w:color="auto" w:sz="4" w:space="0"/>
            </w:tcBorders>
            <w:noWrap w:val="0"/>
            <w:vAlign w:val="center"/>
          </w:tcPr>
          <w:p w14:paraId="14DF63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708" w:type="pct"/>
            <w:tcBorders>
              <w:top w:val="nil"/>
              <w:left w:val="nil"/>
              <w:bottom w:val="single" w:color="auto" w:sz="4" w:space="0"/>
              <w:right w:val="single" w:color="auto" w:sz="4" w:space="0"/>
            </w:tcBorders>
            <w:noWrap w:val="0"/>
            <w:vAlign w:val="center"/>
          </w:tcPr>
          <w:p w14:paraId="16B381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0AED5A88">
        <w:tblPrEx>
          <w:tblCellMar>
            <w:top w:w="0" w:type="dxa"/>
            <w:left w:w="108" w:type="dxa"/>
            <w:bottom w:w="0" w:type="dxa"/>
            <w:right w:w="108" w:type="dxa"/>
          </w:tblCellMar>
        </w:tblPrEx>
        <w:trPr>
          <w:trHeight w:val="283" w:hRule="atLeast"/>
          <w:jc w:val="center"/>
        </w:trPr>
        <w:tc>
          <w:tcPr>
            <w:tcW w:w="391" w:type="pct"/>
            <w:vMerge w:val="continue"/>
            <w:tcBorders>
              <w:top w:val="nil"/>
              <w:left w:val="single" w:color="auto" w:sz="4" w:space="0"/>
              <w:bottom w:val="single" w:color="auto" w:sz="4" w:space="0"/>
              <w:right w:val="single" w:color="auto" w:sz="4" w:space="0"/>
            </w:tcBorders>
            <w:noWrap w:val="0"/>
            <w:vAlign w:val="center"/>
          </w:tcPr>
          <w:p w14:paraId="0157A4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03B050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810" w:type="pct"/>
            <w:tcBorders>
              <w:top w:val="nil"/>
              <w:left w:val="nil"/>
              <w:bottom w:val="single" w:color="auto" w:sz="4" w:space="0"/>
              <w:right w:val="single" w:color="auto" w:sz="4" w:space="0"/>
            </w:tcBorders>
            <w:shd w:val="clear" w:color="auto" w:fill="auto"/>
            <w:noWrap w:val="0"/>
            <w:vAlign w:val="center"/>
          </w:tcPr>
          <w:p w14:paraId="7F2D2A2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700" w:type="pct"/>
            <w:tcBorders>
              <w:top w:val="nil"/>
              <w:left w:val="nil"/>
              <w:bottom w:val="single" w:color="auto" w:sz="4" w:space="0"/>
              <w:right w:val="single" w:color="auto" w:sz="4" w:space="0"/>
            </w:tcBorders>
            <w:shd w:val="clear" w:color="auto" w:fill="auto"/>
            <w:noWrap w:val="0"/>
            <w:vAlign w:val="center"/>
          </w:tcPr>
          <w:p w14:paraId="4C77C79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14" w:type="pct"/>
            <w:tcBorders>
              <w:top w:val="nil"/>
              <w:left w:val="nil"/>
              <w:bottom w:val="single" w:color="auto" w:sz="4" w:space="0"/>
              <w:right w:val="single" w:color="auto" w:sz="4" w:space="0"/>
            </w:tcBorders>
            <w:shd w:val="clear" w:color="auto" w:fill="auto"/>
            <w:noWrap w:val="0"/>
            <w:vAlign w:val="center"/>
          </w:tcPr>
          <w:p w14:paraId="4122555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只有污排</w:t>
            </w:r>
          </w:p>
        </w:tc>
        <w:tc>
          <w:tcPr>
            <w:tcW w:w="696" w:type="pct"/>
            <w:tcBorders>
              <w:top w:val="nil"/>
              <w:left w:val="nil"/>
              <w:bottom w:val="single" w:color="auto" w:sz="4" w:space="0"/>
              <w:right w:val="single" w:color="auto" w:sz="4" w:space="0"/>
            </w:tcBorders>
            <w:shd w:val="clear" w:color="auto" w:fill="auto"/>
            <w:noWrap w:val="0"/>
            <w:vAlign w:val="center"/>
          </w:tcPr>
          <w:p w14:paraId="4E90D59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只有雨排</w:t>
            </w:r>
          </w:p>
        </w:tc>
        <w:tc>
          <w:tcPr>
            <w:tcW w:w="708" w:type="pct"/>
            <w:tcBorders>
              <w:top w:val="nil"/>
              <w:left w:val="nil"/>
              <w:bottom w:val="single" w:color="auto" w:sz="4" w:space="0"/>
              <w:right w:val="single" w:color="auto" w:sz="4" w:space="0"/>
            </w:tcBorders>
            <w:shd w:val="clear" w:color="auto" w:fill="auto"/>
            <w:noWrap w:val="0"/>
            <w:vAlign w:val="center"/>
          </w:tcPr>
          <w:p w14:paraId="47492D7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无排水系统</w:t>
            </w:r>
          </w:p>
        </w:tc>
      </w:tr>
      <w:tr w14:paraId="72CB17EC">
        <w:tblPrEx>
          <w:tblCellMar>
            <w:top w:w="0" w:type="dxa"/>
            <w:left w:w="108" w:type="dxa"/>
            <w:bottom w:w="0" w:type="dxa"/>
            <w:right w:w="108" w:type="dxa"/>
          </w:tblCellMar>
        </w:tblPrEx>
        <w:trPr>
          <w:trHeight w:val="283" w:hRule="atLeast"/>
          <w:jc w:val="center"/>
        </w:trPr>
        <w:tc>
          <w:tcPr>
            <w:tcW w:w="391" w:type="pct"/>
            <w:vMerge w:val="continue"/>
            <w:tcBorders>
              <w:top w:val="nil"/>
              <w:left w:val="single" w:color="auto" w:sz="4" w:space="0"/>
              <w:bottom w:val="single" w:color="auto" w:sz="4" w:space="0"/>
              <w:right w:val="single" w:color="auto" w:sz="4" w:space="0"/>
            </w:tcBorders>
            <w:noWrap w:val="0"/>
            <w:vAlign w:val="center"/>
          </w:tcPr>
          <w:p w14:paraId="2FB76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36D10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产业集聚度</w:t>
            </w:r>
          </w:p>
        </w:tc>
        <w:tc>
          <w:tcPr>
            <w:tcW w:w="810" w:type="pct"/>
            <w:tcBorders>
              <w:top w:val="nil"/>
              <w:left w:val="nil"/>
              <w:bottom w:val="single" w:color="auto" w:sz="4" w:space="0"/>
              <w:right w:val="single" w:color="auto" w:sz="4" w:space="0"/>
            </w:tcBorders>
            <w:noWrap w:val="0"/>
            <w:vAlign w:val="center"/>
          </w:tcPr>
          <w:p w14:paraId="6BE6A6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周围集聚大型</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，形成</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园区</w:t>
            </w:r>
          </w:p>
        </w:tc>
        <w:tc>
          <w:tcPr>
            <w:tcW w:w="700" w:type="pct"/>
            <w:tcBorders>
              <w:top w:val="nil"/>
              <w:left w:val="nil"/>
              <w:bottom w:val="single" w:color="auto" w:sz="4" w:space="0"/>
              <w:right w:val="single" w:color="auto" w:sz="4" w:space="0"/>
            </w:tcBorders>
            <w:noWrap w:val="0"/>
            <w:vAlign w:val="center"/>
          </w:tcPr>
          <w:p w14:paraId="0A9382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分布较多，且有一定规模</w:t>
            </w:r>
          </w:p>
        </w:tc>
        <w:tc>
          <w:tcPr>
            <w:tcW w:w="714" w:type="pct"/>
            <w:tcBorders>
              <w:top w:val="nil"/>
              <w:left w:val="nil"/>
              <w:bottom w:val="single" w:color="auto" w:sz="4" w:space="0"/>
              <w:right w:val="single" w:color="auto" w:sz="4" w:space="0"/>
            </w:tcBorders>
            <w:noWrap w:val="0"/>
            <w:vAlign w:val="center"/>
          </w:tcPr>
          <w:p w14:paraId="0D55B9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周围有</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分布，属于一般产业区</w:t>
            </w:r>
          </w:p>
        </w:tc>
        <w:tc>
          <w:tcPr>
            <w:tcW w:w="696" w:type="pct"/>
            <w:tcBorders>
              <w:top w:val="nil"/>
              <w:left w:val="nil"/>
              <w:bottom w:val="single" w:color="auto" w:sz="4" w:space="0"/>
              <w:right w:val="single" w:color="auto" w:sz="4" w:space="0"/>
            </w:tcBorders>
            <w:noWrap w:val="0"/>
            <w:vAlign w:val="center"/>
          </w:tcPr>
          <w:p w14:paraId="1AAC4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分布较分散，且距离较远</w:t>
            </w:r>
          </w:p>
        </w:tc>
        <w:tc>
          <w:tcPr>
            <w:tcW w:w="708" w:type="pct"/>
            <w:tcBorders>
              <w:top w:val="nil"/>
              <w:left w:val="nil"/>
              <w:bottom w:val="single" w:color="auto" w:sz="4" w:space="0"/>
              <w:right w:val="single" w:color="auto" w:sz="4" w:space="0"/>
            </w:tcBorders>
            <w:noWrap w:val="0"/>
            <w:vAlign w:val="center"/>
          </w:tcPr>
          <w:p w14:paraId="532994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区域内无</w:t>
            </w:r>
            <w:r>
              <w:rPr>
                <w:rFonts w:hint="eastAsia" w:ascii="Times New Roman" w:hAnsi="Times New Roman" w:eastAsia="仿宋" w:cs="仿宋"/>
                <w:b w:val="0"/>
                <w:bCs w:val="0"/>
                <w:caps w:val="0"/>
                <w:smallCaps w:val="0"/>
                <w:color w:val="auto"/>
                <w:sz w:val="21"/>
                <w:szCs w:val="21"/>
                <w:highlight w:val="none"/>
                <w:lang w:eastAsia="zh-CN"/>
              </w:rPr>
              <w:t>工矿</w:t>
            </w:r>
            <w:r>
              <w:rPr>
                <w:rFonts w:hint="eastAsia" w:ascii="Times New Roman" w:hAnsi="Times New Roman" w:eastAsia="仿宋" w:cs="仿宋"/>
                <w:b w:val="0"/>
                <w:bCs w:val="0"/>
                <w:caps w:val="0"/>
                <w:smallCaps w:val="0"/>
                <w:color w:val="auto"/>
                <w:sz w:val="21"/>
                <w:szCs w:val="21"/>
                <w:highlight w:val="none"/>
              </w:rPr>
              <w:t>企业分布</w:t>
            </w:r>
          </w:p>
        </w:tc>
      </w:tr>
      <w:tr w14:paraId="6F9D6DCD">
        <w:tblPrEx>
          <w:tblCellMar>
            <w:top w:w="0" w:type="dxa"/>
            <w:left w:w="108" w:type="dxa"/>
            <w:bottom w:w="0" w:type="dxa"/>
            <w:right w:w="108" w:type="dxa"/>
          </w:tblCellMar>
        </w:tblPrEx>
        <w:trPr>
          <w:trHeight w:val="283" w:hRule="atLeast"/>
          <w:jc w:val="center"/>
        </w:trPr>
        <w:tc>
          <w:tcPr>
            <w:tcW w:w="391" w:type="pct"/>
            <w:vMerge w:val="restart"/>
            <w:tcBorders>
              <w:top w:val="nil"/>
              <w:left w:val="single" w:color="auto" w:sz="4" w:space="0"/>
              <w:right w:val="single" w:color="auto" w:sz="4" w:space="0"/>
            </w:tcBorders>
            <w:noWrap w:val="0"/>
            <w:vAlign w:val="center"/>
          </w:tcPr>
          <w:p w14:paraId="6C33A9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0FBE97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979" w:type="pct"/>
            <w:tcBorders>
              <w:top w:val="nil"/>
              <w:left w:val="nil"/>
              <w:bottom w:val="single" w:color="auto" w:sz="4" w:space="0"/>
              <w:right w:val="single" w:color="auto" w:sz="4" w:space="0"/>
            </w:tcBorders>
            <w:noWrap w:val="0"/>
            <w:vAlign w:val="center"/>
          </w:tcPr>
          <w:p w14:paraId="591CC7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810" w:type="pct"/>
            <w:tcBorders>
              <w:top w:val="nil"/>
              <w:left w:val="nil"/>
              <w:bottom w:val="single" w:color="auto" w:sz="4" w:space="0"/>
              <w:right w:val="single" w:color="auto" w:sz="4" w:space="0"/>
            </w:tcBorders>
            <w:noWrap w:val="0"/>
            <w:vAlign w:val="center"/>
          </w:tcPr>
          <w:p w14:paraId="6BD45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形状规则极有利于土地利用</w:t>
            </w:r>
          </w:p>
        </w:tc>
        <w:tc>
          <w:tcPr>
            <w:tcW w:w="700" w:type="pct"/>
            <w:tcBorders>
              <w:top w:val="nil"/>
              <w:left w:val="nil"/>
              <w:bottom w:val="single" w:color="auto" w:sz="4" w:space="0"/>
              <w:right w:val="single" w:color="auto" w:sz="4" w:space="0"/>
            </w:tcBorders>
            <w:noWrap w:val="0"/>
            <w:vAlign w:val="center"/>
          </w:tcPr>
          <w:p w14:paraId="38DFBA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形状规则对土地利用较有利</w:t>
            </w:r>
          </w:p>
        </w:tc>
        <w:tc>
          <w:tcPr>
            <w:tcW w:w="714" w:type="pct"/>
            <w:tcBorders>
              <w:top w:val="nil"/>
              <w:left w:val="nil"/>
              <w:bottom w:val="single" w:color="auto" w:sz="4" w:space="0"/>
              <w:right w:val="single" w:color="auto" w:sz="4" w:space="0"/>
            </w:tcBorders>
            <w:noWrap w:val="0"/>
            <w:vAlign w:val="center"/>
          </w:tcPr>
          <w:p w14:paraId="0D997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形状不规则，对土地利用无不良影响</w:t>
            </w:r>
          </w:p>
        </w:tc>
        <w:tc>
          <w:tcPr>
            <w:tcW w:w="696" w:type="pct"/>
            <w:tcBorders>
              <w:top w:val="nil"/>
              <w:left w:val="nil"/>
              <w:bottom w:val="single" w:color="auto" w:sz="4" w:space="0"/>
              <w:right w:val="single" w:color="auto" w:sz="4" w:space="0"/>
            </w:tcBorders>
            <w:noWrap w:val="0"/>
            <w:vAlign w:val="center"/>
          </w:tcPr>
          <w:p w14:paraId="165691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形状不规则，对土地利用有一定影响</w:t>
            </w:r>
          </w:p>
        </w:tc>
        <w:tc>
          <w:tcPr>
            <w:tcW w:w="708" w:type="pct"/>
            <w:tcBorders>
              <w:top w:val="nil"/>
              <w:left w:val="nil"/>
              <w:bottom w:val="single" w:color="auto" w:sz="4" w:space="0"/>
              <w:right w:val="single" w:color="auto" w:sz="4" w:space="0"/>
            </w:tcBorders>
            <w:noWrap w:val="0"/>
            <w:vAlign w:val="center"/>
          </w:tcPr>
          <w:p w14:paraId="5DFD73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形状极不规则，对土地利用影响严重</w:t>
            </w:r>
          </w:p>
        </w:tc>
      </w:tr>
      <w:tr w14:paraId="708C7690">
        <w:tblPrEx>
          <w:tblCellMar>
            <w:top w:w="0" w:type="dxa"/>
            <w:left w:w="108" w:type="dxa"/>
            <w:bottom w:w="0" w:type="dxa"/>
            <w:right w:w="108" w:type="dxa"/>
          </w:tblCellMar>
        </w:tblPrEx>
        <w:trPr>
          <w:trHeight w:val="283" w:hRule="atLeast"/>
          <w:jc w:val="center"/>
        </w:trPr>
        <w:tc>
          <w:tcPr>
            <w:tcW w:w="391" w:type="pct"/>
            <w:vMerge w:val="continue"/>
            <w:tcBorders>
              <w:left w:val="single" w:color="auto" w:sz="4" w:space="0"/>
              <w:right w:val="single" w:color="auto" w:sz="4" w:space="0"/>
            </w:tcBorders>
            <w:noWrap w:val="0"/>
            <w:vAlign w:val="center"/>
          </w:tcPr>
          <w:p w14:paraId="3DB0B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nil"/>
              <w:left w:val="nil"/>
              <w:bottom w:val="single" w:color="auto" w:sz="4" w:space="0"/>
              <w:right w:val="single" w:color="auto" w:sz="4" w:space="0"/>
            </w:tcBorders>
            <w:noWrap w:val="0"/>
            <w:vAlign w:val="center"/>
          </w:tcPr>
          <w:p w14:paraId="1F9BDA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810" w:type="pct"/>
            <w:tcBorders>
              <w:top w:val="nil"/>
              <w:left w:val="nil"/>
              <w:bottom w:val="single" w:color="auto" w:sz="4" w:space="0"/>
              <w:right w:val="single" w:color="auto" w:sz="4" w:space="0"/>
            </w:tcBorders>
            <w:noWrap w:val="0"/>
            <w:vAlign w:val="center"/>
          </w:tcPr>
          <w:p w14:paraId="4ED1D0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面积符合土地利用类型</w:t>
            </w:r>
          </w:p>
        </w:tc>
        <w:tc>
          <w:tcPr>
            <w:tcW w:w="700" w:type="pct"/>
            <w:tcBorders>
              <w:top w:val="nil"/>
              <w:left w:val="nil"/>
              <w:bottom w:val="single" w:color="auto" w:sz="4" w:space="0"/>
              <w:right w:val="single" w:color="auto" w:sz="4" w:space="0"/>
            </w:tcBorders>
            <w:noWrap w:val="0"/>
            <w:vAlign w:val="center"/>
          </w:tcPr>
          <w:p w14:paraId="606821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面积适中，较符合土地利用类型</w:t>
            </w:r>
          </w:p>
        </w:tc>
        <w:tc>
          <w:tcPr>
            <w:tcW w:w="714" w:type="pct"/>
            <w:tcBorders>
              <w:top w:val="nil"/>
              <w:left w:val="nil"/>
              <w:bottom w:val="single" w:color="auto" w:sz="4" w:space="0"/>
              <w:right w:val="single" w:color="auto" w:sz="4" w:space="0"/>
            </w:tcBorders>
            <w:noWrap w:val="0"/>
            <w:vAlign w:val="center"/>
          </w:tcPr>
          <w:p w14:paraId="0A4268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面积偏大或偏小，对土地利用无不良影响</w:t>
            </w:r>
          </w:p>
        </w:tc>
        <w:tc>
          <w:tcPr>
            <w:tcW w:w="696" w:type="pct"/>
            <w:tcBorders>
              <w:top w:val="nil"/>
              <w:left w:val="nil"/>
              <w:bottom w:val="single" w:color="auto" w:sz="4" w:space="0"/>
              <w:right w:val="single" w:color="auto" w:sz="4" w:space="0"/>
            </w:tcBorders>
            <w:noWrap w:val="0"/>
            <w:vAlign w:val="center"/>
          </w:tcPr>
          <w:p w14:paraId="5E4B53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面积偏大或偏小，对土地利用有一定影响</w:t>
            </w:r>
          </w:p>
        </w:tc>
        <w:tc>
          <w:tcPr>
            <w:tcW w:w="708" w:type="pct"/>
            <w:tcBorders>
              <w:top w:val="nil"/>
              <w:left w:val="single" w:color="auto" w:sz="4" w:space="0"/>
              <w:bottom w:val="single" w:color="auto" w:sz="4" w:space="0"/>
              <w:right w:val="single" w:color="auto" w:sz="4" w:space="0"/>
            </w:tcBorders>
            <w:noWrap w:val="0"/>
            <w:vAlign w:val="center"/>
          </w:tcPr>
          <w:p w14:paraId="1F454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面积过大或过小，不符合土地利用类型</w:t>
            </w:r>
          </w:p>
        </w:tc>
      </w:tr>
      <w:tr w14:paraId="1066A182">
        <w:tblPrEx>
          <w:tblCellMar>
            <w:top w:w="0" w:type="dxa"/>
            <w:left w:w="108" w:type="dxa"/>
            <w:bottom w:w="0" w:type="dxa"/>
            <w:right w:w="108" w:type="dxa"/>
          </w:tblCellMar>
        </w:tblPrEx>
        <w:trPr>
          <w:trHeight w:val="283" w:hRule="atLeast"/>
          <w:jc w:val="center"/>
        </w:trPr>
        <w:tc>
          <w:tcPr>
            <w:tcW w:w="391" w:type="pct"/>
            <w:vMerge w:val="continue"/>
            <w:tcBorders>
              <w:left w:val="single" w:color="auto" w:sz="4" w:space="0"/>
              <w:bottom w:val="single" w:color="auto" w:sz="4" w:space="0"/>
              <w:right w:val="single" w:color="auto" w:sz="4" w:space="0"/>
            </w:tcBorders>
            <w:noWrap w:val="0"/>
            <w:vAlign w:val="center"/>
          </w:tcPr>
          <w:p w14:paraId="78FF58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979" w:type="pct"/>
            <w:tcBorders>
              <w:top w:val="single" w:color="auto" w:sz="4" w:space="0"/>
              <w:left w:val="nil"/>
              <w:bottom w:val="single" w:color="auto" w:sz="4" w:space="0"/>
              <w:right w:val="single" w:color="auto" w:sz="4" w:space="0"/>
            </w:tcBorders>
            <w:noWrap w:val="0"/>
            <w:vAlign w:val="center"/>
          </w:tcPr>
          <w:p w14:paraId="2DECE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工程地质</w:t>
            </w:r>
          </w:p>
        </w:tc>
        <w:tc>
          <w:tcPr>
            <w:tcW w:w="810" w:type="pct"/>
            <w:tcBorders>
              <w:top w:val="single" w:color="auto" w:sz="4" w:space="0"/>
              <w:left w:val="nil"/>
              <w:bottom w:val="single" w:color="auto" w:sz="4" w:space="0"/>
              <w:right w:val="single" w:color="auto" w:sz="4" w:space="0"/>
            </w:tcBorders>
            <w:noWrap w:val="0"/>
            <w:vAlign w:val="center"/>
          </w:tcPr>
          <w:p w14:paraId="722029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地质承载力强，利于建设</w:t>
            </w:r>
          </w:p>
        </w:tc>
        <w:tc>
          <w:tcPr>
            <w:tcW w:w="700" w:type="pct"/>
            <w:tcBorders>
              <w:top w:val="single" w:color="auto" w:sz="4" w:space="0"/>
              <w:left w:val="nil"/>
              <w:bottom w:val="single" w:color="auto" w:sz="4" w:space="0"/>
              <w:right w:val="single" w:color="auto" w:sz="4" w:space="0"/>
            </w:tcBorders>
            <w:noWrap w:val="0"/>
            <w:vAlign w:val="center"/>
          </w:tcPr>
          <w:p w14:paraId="2A38E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地质承载力较强，利于建设</w:t>
            </w:r>
          </w:p>
        </w:tc>
        <w:tc>
          <w:tcPr>
            <w:tcW w:w="714" w:type="pct"/>
            <w:tcBorders>
              <w:top w:val="single" w:color="auto" w:sz="4" w:space="0"/>
              <w:left w:val="nil"/>
              <w:bottom w:val="single" w:color="auto" w:sz="4" w:space="0"/>
              <w:right w:val="single" w:color="auto" w:sz="4" w:space="0"/>
            </w:tcBorders>
            <w:noWrap w:val="0"/>
            <w:vAlign w:val="center"/>
          </w:tcPr>
          <w:p w14:paraId="78E82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无不良地质现象</w:t>
            </w:r>
          </w:p>
        </w:tc>
        <w:tc>
          <w:tcPr>
            <w:tcW w:w="696" w:type="pct"/>
            <w:tcBorders>
              <w:top w:val="single" w:color="auto" w:sz="4" w:space="0"/>
              <w:left w:val="nil"/>
              <w:bottom w:val="single" w:color="auto" w:sz="4" w:space="0"/>
              <w:right w:val="single" w:color="auto" w:sz="4" w:space="0"/>
            </w:tcBorders>
            <w:noWrap w:val="0"/>
            <w:vAlign w:val="center"/>
          </w:tcPr>
          <w:p w14:paraId="3C50F9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有不良地质状况，但无需特殊处理</w:t>
            </w:r>
          </w:p>
        </w:tc>
        <w:tc>
          <w:tcPr>
            <w:tcW w:w="708" w:type="pct"/>
            <w:tcBorders>
              <w:top w:val="single" w:color="auto" w:sz="4" w:space="0"/>
              <w:left w:val="nil"/>
              <w:bottom w:val="single" w:color="auto" w:sz="4" w:space="0"/>
              <w:right w:val="single" w:color="auto" w:sz="4" w:space="0"/>
            </w:tcBorders>
            <w:noWrap w:val="0"/>
            <w:vAlign w:val="center"/>
          </w:tcPr>
          <w:p w14:paraId="4B8403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并需特殊处理</w:t>
            </w:r>
          </w:p>
        </w:tc>
      </w:tr>
    </w:tbl>
    <w:p w14:paraId="6BF638EE">
      <w:pPr>
        <w:rPr>
          <w:rFonts w:hint="eastAsia" w:ascii="Times New Roman" w:hAnsi="Times New Roman" w:eastAsia="仿宋" w:cs="仿宋"/>
          <w:b w:val="0"/>
          <w:bCs w:val="0"/>
          <w:caps w:val="0"/>
          <w:smallCaps w:val="0"/>
          <w:color w:val="auto"/>
          <w:kern w:val="2"/>
          <w:sz w:val="28"/>
          <w:szCs w:val="28"/>
          <w:highlight w:val="none"/>
          <w:lang w:val="en-US" w:eastAsia="zh-CN" w:bidi="ar-SA"/>
        </w:rPr>
      </w:pPr>
      <w:r>
        <w:rPr>
          <w:rFonts w:hint="eastAsia" w:ascii="Times New Roman" w:hAnsi="Times New Roman" w:eastAsia="仿宋" w:cs="仿宋"/>
          <w:b w:val="0"/>
          <w:bCs w:val="0"/>
          <w:caps w:val="0"/>
          <w:smallCaps w:val="0"/>
          <w:color w:val="auto"/>
          <w:kern w:val="2"/>
          <w:sz w:val="28"/>
          <w:szCs w:val="28"/>
          <w:highlight w:val="none"/>
          <w:lang w:val="en-US" w:eastAsia="zh-CN" w:bidi="ar-SA"/>
        </w:rPr>
        <w:br w:type="page"/>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2"/>
        <w:gridCol w:w="1189"/>
        <w:gridCol w:w="1228"/>
        <w:gridCol w:w="1276"/>
        <w:gridCol w:w="1228"/>
        <w:gridCol w:w="1289"/>
        <w:gridCol w:w="1327"/>
      </w:tblGrid>
      <w:tr w14:paraId="3980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jc w:val="center"/>
        </w:trPr>
        <w:tc>
          <w:tcPr>
            <w:tcW w:w="5000" w:type="pct"/>
            <w:gridSpan w:val="7"/>
            <w:tcBorders>
              <w:top w:val="nil"/>
              <w:left w:val="nil"/>
              <w:bottom w:val="nil"/>
              <w:right w:val="nil"/>
            </w:tcBorders>
            <w:shd w:val="clear" w:color="auto" w:fill="auto"/>
            <w:noWrap/>
            <w:vAlign w:val="center"/>
          </w:tcPr>
          <w:p w14:paraId="48A88EF3">
            <w:pPr>
              <w:jc w:val="center"/>
              <w:rPr>
                <w:rFonts w:hint="eastAsia" w:ascii="Times New Roman" w:hAnsi="Times New Roman" w:eastAsia="仿宋" w:cs="仿宋"/>
                <w:i w:val="0"/>
                <w:iCs w:val="0"/>
                <w:caps w:val="0"/>
                <w:smallCaps w:val="0"/>
                <w:color w:val="auto"/>
                <w:sz w:val="24"/>
                <w:szCs w:val="24"/>
                <w:highlight w:val="none"/>
                <w:u w:val="none"/>
              </w:rPr>
            </w:pPr>
            <w:r>
              <w:rPr>
                <w:rFonts w:hint="eastAsia" w:ascii="Times New Roman" w:hAnsi="Times New Roman" w:eastAsia="仿宋" w:cs="仿宋"/>
                <w:b w:val="0"/>
                <w:bCs w:val="0"/>
                <w:caps w:val="0"/>
                <w:smallCaps w:val="0"/>
                <w:color w:val="auto"/>
                <w:kern w:val="2"/>
                <w:sz w:val="24"/>
                <w:szCs w:val="24"/>
                <w:highlight w:val="none"/>
                <w:lang w:val="en-US" w:eastAsia="zh-CN" w:bidi="ar-SA"/>
              </w:rPr>
              <w:br w:type="page"/>
            </w:r>
            <w:bookmarkStart w:id="42" w:name="_Toc17822"/>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2-14</w:t>
            </w:r>
            <w:r>
              <w:rPr>
                <w:rFonts w:hint="eastAsia" w:ascii="Times New Roman" w:hAnsi="Times New Roman" w:eastAsia="仿宋" w:cs="仿宋"/>
                <w:b/>
                <w:caps w:val="0"/>
                <w:smallCaps w:val="0"/>
                <w:color w:val="auto"/>
                <w:sz w:val="24"/>
                <w:szCs w:val="24"/>
                <w:highlight w:val="none"/>
                <w:lang w:val="en-US" w:eastAsia="zh-CN"/>
              </w:rPr>
              <w:t xml:space="preserve">  Ⅱ级工矿用地地价地价影响因素指标说明表</w:t>
            </w:r>
            <w:bookmarkEnd w:id="42"/>
          </w:p>
        </w:tc>
      </w:tr>
      <w:tr w14:paraId="4BAB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D1FB">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DE187">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1B5C">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79E3">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8F74">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065E">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0E47">
            <w:pPr>
              <w:keepNext w:val="0"/>
              <w:keepLines w:val="0"/>
              <w:pageBreakBefore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5BA9E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D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7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0.18</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9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0.0360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2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6A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98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-0.0105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81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-0.0210 </w:t>
            </w:r>
          </w:p>
        </w:tc>
      </w:tr>
      <w:tr w14:paraId="1464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35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3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0.15</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4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0.0300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0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18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7E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F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-0.0175 </w:t>
            </w:r>
          </w:p>
        </w:tc>
      </w:tr>
      <w:tr w14:paraId="02C35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32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B2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0.12</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85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0.0240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C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32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-0.0070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8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-0.0140 </w:t>
            </w:r>
          </w:p>
        </w:tc>
      </w:tr>
      <w:tr w14:paraId="0CF7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CC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20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E7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C9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AD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40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8D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-0.0128 </w:t>
            </w:r>
          </w:p>
        </w:tc>
      </w:tr>
      <w:tr w14:paraId="7F754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FC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产业集聚度</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71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0.0260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D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B5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42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38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-0.0152 </w:t>
            </w:r>
          </w:p>
        </w:tc>
      </w:tr>
      <w:tr w14:paraId="17F9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89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AA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C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BF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1F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05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F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-0.0128 </w:t>
            </w:r>
          </w:p>
        </w:tc>
      </w:tr>
      <w:tr w14:paraId="3EEF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87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6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52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C9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4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CA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BD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-0.0117 </w:t>
            </w:r>
          </w:p>
        </w:tc>
      </w:tr>
      <w:tr w14:paraId="446B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B2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工程地质</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BA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9E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B5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72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9C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4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-0.0117 </w:t>
            </w:r>
          </w:p>
        </w:tc>
      </w:tr>
      <w:tr w14:paraId="62899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jc w:val="center"/>
        </w:trPr>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8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4B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0.18</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8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0.0360 </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4A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77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4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-0.0105 </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9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-0.0210 </w:t>
            </w:r>
          </w:p>
        </w:tc>
      </w:tr>
    </w:tbl>
    <w:p w14:paraId="7588926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60" w:firstLineChars="200"/>
        <w:textAlignment w:val="auto"/>
        <w:outlineLvl w:val="9"/>
        <w:rPr>
          <w:rFonts w:hint="eastAsia" w:ascii="Times New Roman" w:hAnsi="Times New Roman" w:eastAsia="仿宋" w:cs="仿宋"/>
          <w:b w:val="0"/>
          <w:bCs w:val="0"/>
          <w:caps w:val="0"/>
          <w:smallCaps w:val="0"/>
          <w:color w:val="auto"/>
          <w:kern w:val="2"/>
          <w:sz w:val="28"/>
          <w:szCs w:val="28"/>
          <w:highlight w:val="none"/>
          <w:lang w:val="en-US" w:eastAsia="zh-CN" w:bidi="ar-SA"/>
        </w:rPr>
      </w:pPr>
    </w:p>
    <w:p w14:paraId="7DA3D4B7">
      <w:pPr>
        <w:rPr>
          <w:rFonts w:hint="eastAsia" w:ascii="Times New Roman" w:hAnsi="Times New Roman" w:eastAsia="仿宋" w:cs="仿宋"/>
          <w:b w:val="0"/>
          <w:bCs w:val="0"/>
          <w:caps w:val="0"/>
          <w:smallCaps w:val="0"/>
          <w:color w:val="auto"/>
          <w:kern w:val="2"/>
          <w:sz w:val="28"/>
          <w:szCs w:val="28"/>
          <w:highlight w:val="none"/>
          <w:lang w:val="en-US" w:eastAsia="zh-CN" w:bidi="ar-SA"/>
        </w:rPr>
      </w:pPr>
      <w:r>
        <w:rPr>
          <w:rFonts w:hint="eastAsia" w:ascii="Times New Roman" w:hAnsi="Times New Roman" w:eastAsia="仿宋" w:cs="仿宋"/>
          <w:b w:val="0"/>
          <w:bCs w:val="0"/>
          <w:caps w:val="0"/>
          <w:smallCaps w:val="0"/>
          <w:color w:val="auto"/>
          <w:kern w:val="2"/>
          <w:sz w:val="28"/>
          <w:szCs w:val="28"/>
          <w:highlight w:val="none"/>
          <w:lang w:val="en-US" w:eastAsia="zh-CN" w:bidi="ar-SA"/>
        </w:rPr>
        <w:br w:type="page"/>
      </w:r>
    </w:p>
    <w:p w14:paraId="6B2D055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60" w:firstLineChars="200"/>
        <w:textAlignment w:val="auto"/>
        <w:outlineLvl w:val="9"/>
        <w:rPr>
          <w:rFonts w:hint="eastAsia" w:ascii="Times New Roman" w:hAnsi="Times New Roman" w:eastAsia="仿宋" w:cs="仿宋"/>
          <w:b w:val="0"/>
          <w:bCs/>
          <w:caps w:val="0"/>
          <w:smallCaps w:val="0"/>
          <w:color w:val="auto"/>
          <w:kern w:val="2"/>
          <w:sz w:val="28"/>
          <w:szCs w:val="28"/>
          <w:highlight w:val="none"/>
        </w:rPr>
      </w:pPr>
      <w:r>
        <w:rPr>
          <w:rFonts w:hint="eastAsia" w:ascii="Times New Roman" w:hAnsi="Times New Roman" w:eastAsia="仿宋" w:cs="仿宋"/>
          <w:b w:val="0"/>
          <w:bCs w:val="0"/>
          <w:caps w:val="0"/>
          <w:smallCaps w:val="0"/>
          <w:color w:val="auto"/>
          <w:kern w:val="2"/>
          <w:sz w:val="28"/>
          <w:szCs w:val="28"/>
          <w:highlight w:val="none"/>
          <w:lang w:val="en-US" w:eastAsia="zh-CN" w:bidi="ar-SA"/>
        </w:rPr>
        <w:t>（4）</w:t>
      </w:r>
      <w:r>
        <w:rPr>
          <w:rFonts w:hint="eastAsia" w:ascii="Times New Roman" w:hAnsi="Times New Roman" w:eastAsia="仿宋" w:cs="仿宋"/>
          <w:b w:val="0"/>
          <w:bCs/>
          <w:caps w:val="0"/>
          <w:smallCaps w:val="0"/>
          <w:color w:val="auto"/>
          <w:kern w:val="2"/>
          <w:sz w:val="28"/>
          <w:szCs w:val="28"/>
          <w:highlight w:val="none"/>
          <w:lang w:val="en-US" w:eastAsia="zh-CN"/>
        </w:rPr>
        <w:t>公共管理与公共服务用地</w:t>
      </w:r>
      <w:r>
        <w:rPr>
          <w:rFonts w:hint="eastAsia" w:ascii="Times New Roman" w:hAnsi="Times New Roman" w:eastAsia="仿宋" w:cs="仿宋"/>
          <w:b w:val="0"/>
          <w:bCs/>
          <w:caps w:val="0"/>
          <w:smallCaps w:val="0"/>
          <w:color w:val="auto"/>
          <w:kern w:val="2"/>
          <w:sz w:val="28"/>
          <w:szCs w:val="28"/>
          <w:highlight w:val="none"/>
        </w:rPr>
        <w:t>地价影响因素指标说明表及修正系数表</w:t>
      </w:r>
    </w:p>
    <w:p w14:paraId="2DA644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caps w:val="0"/>
          <w:smallCaps w:val="0"/>
          <w:color w:val="auto"/>
          <w:sz w:val="24"/>
          <w:szCs w:val="24"/>
          <w:highlight w:val="none"/>
        </w:rPr>
      </w:pP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2-15</w:t>
      </w:r>
      <w:r>
        <w:rPr>
          <w:rFonts w:hint="eastAsia" w:ascii="Times New Roman" w:hAnsi="Times New Roman" w:eastAsia="仿宋" w:cs="仿宋"/>
          <w:b/>
          <w:caps w:val="0"/>
          <w:smallCaps w:val="0"/>
          <w:color w:val="auto"/>
          <w:sz w:val="24"/>
          <w:szCs w:val="24"/>
          <w:highlight w:val="none"/>
        </w:rPr>
        <w:t xml:space="preserve"> Ⅰ级</w:t>
      </w:r>
      <w:r>
        <w:rPr>
          <w:rFonts w:hint="eastAsia" w:ascii="Times New Roman" w:hAnsi="Times New Roman" w:eastAsia="仿宋" w:cs="仿宋"/>
          <w:b/>
          <w:caps w:val="0"/>
          <w:smallCaps w:val="0"/>
          <w:color w:val="auto"/>
          <w:sz w:val="24"/>
          <w:szCs w:val="24"/>
          <w:highlight w:val="none"/>
          <w:lang w:val="en-US" w:eastAsia="zh-CN"/>
        </w:rPr>
        <w:t>公共管理与公共服务用地</w:t>
      </w:r>
      <w:r>
        <w:rPr>
          <w:rFonts w:hint="default" w:ascii="Times New Roman" w:hAnsi="Times New Roman" w:eastAsia="仿宋" w:cs="Times New Roman"/>
          <w:b/>
          <w:sz w:val="24"/>
          <w:szCs w:val="24"/>
        </w:rPr>
        <w:t>地</w:t>
      </w:r>
      <w:r>
        <w:rPr>
          <w:rFonts w:hint="default" w:ascii="Times New Roman" w:hAnsi="Times New Roman" w:eastAsia="仿宋" w:cs="仿宋"/>
          <w:b/>
          <w:caps w:val="0"/>
          <w:smallCaps w:val="0"/>
          <w:color w:val="auto"/>
          <w:sz w:val="24"/>
          <w:szCs w:val="24"/>
          <w:highlight w:val="none"/>
          <w:lang w:val="en-US" w:eastAsia="zh-CN"/>
        </w:rPr>
        <w:t>价影响因素指标说明表</w:t>
      </w:r>
    </w:p>
    <w:tbl>
      <w:tblPr>
        <w:tblStyle w:val="14"/>
        <w:tblW w:w="5000" w:type="pct"/>
        <w:jc w:val="center"/>
        <w:tblLayout w:type="autofit"/>
        <w:tblCellMar>
          <w:top w:w="0" w:type="dxa"/>
          <w:left w:w="108" w:type="dxa"/>
          <w:bottom w:w="0" w:type="dxa"/>
          <w:right w:w="108" w:type="dxa"/>
        </w:tblCellMar>
      </w:tblPr>
      <w:tblGrid>
        <w:gridCol w:w="606"/>
        <w:gridCol w:w="1763"/>
        <w:gridCol w:w="1159"/>
        <w:gridCol w:w="1336"/>
        <w:gridCol w:w="1336"/>
        <w:gridCol w:w="1364"/>
        <w:gridCol w:w="1155"/>
      </w:tblGrid>
      <w:tr w14:paraId="25013077">
        <w:tblPrEx>
          <w:tblCellMar>
            <w:top w:w="0" w:type="dxa"/>
            <w:left w:w="108" w:type="dxa"/>
            <w:bottom w:w="0" w:type="dxa"/>
            <w:right w:w="108" w:type="dxa"/>
          </w:tblCellMar>
        </w:tblPrEx>
        <w:trPr>
          <w:trHeight w:val="255" w:hRule="atLeast"/>
          <w:jc w:val="center"/>
        </w:trPr>
        <w:tc>
          <w:tcPr>
            <w:tcW w:w="2369" w:type="dxa"/>
            <w:gridSpan w:val="2"/>
            <w:tcBorders>
              <w:top w:val="single" w:color="auto" w:sz="4" w:space="0"/>
              <w:left w:val="single" w:color="auto" w:sz="4" w:space="0"/>
              <w:bottom w:val="single" w:color="auto" w:sz="4" w:space="0"/>
              <w:right w:val="single" w:color="auto" w:sz="4" w:space="0"/>
            </w:tcBorders>
            <w:noWrap w:val="0"/>
            <w:vAlign w:val="center"/>
          </w:tcPr>
          <w:p w14:paraId="109440C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159" w:type="dxa"/>
            <w:tcBorders>
              <w:top w:val="single" w:color="auto" w:sz="4" w:space="0"/>
              <w:left w:val="nil"/>
              <w:bottom w:val="single" w:color="auto" w:sz="4" w:space="0"/>
              <w:right w:val="single" w:color="auto" w:sz="4" w:space="0"/>
            </w:tcBorders>
            <w:noWrap w:val="0"/>
            <w:vAlign w:val="center"/>
          </w:tcPr>
          <w:p w14:paraId="01F6DBC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336" w:type="dxa"/>
            <w:tcBorders>
              <w:top w:val="single" w:color="auto" w:sz="4" w:space="0"/>
              <w:left w:val="nil"/>
              <w:bottom w:val="single" w:color="auto" w:sz="4" w:space="0"/>
              <w:right w:val="single" w:color="auto" w:sz="4" w:space="0"/>
            </w:tcBorders>
            <w:noWrap w:val="0"/>
            <w:vAlign w:val="center"/>
          </w:tcPr>
          <w:p w14:paraId="3A51740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337" w:type="dxa"/>
            <w:tcBorders>
              <w:top w:val="single" w:color="auto" w:sz="4" w:space="0"/>
              <w:left w:val="nil"/>
              <w:bottom w:val="single" w:color="auto" w:sz="4" w:space="0"/>
              <w:right w:val="single" w:color="auto" w:sz="4" w:space="0"/>
            </w:tcBorders>
            <w:noWrap w:val="0"/>
            <w:vAlign w:val="center"/>
          </w:tcPr>
          <w:p w14:paraId="6F0A2C2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365" w:type="dxa"/>
            <w:tcBorders>
              <w:top w:val="single" w:color="auto" w:sz="4" w:space="0"/>
              <w:left w:val="nil"/>
              <w:bottom w:val="single" w:color="auto" w:sz="4" w:space="0"/>
              <w:right w:val="single" w:color="auto" w:sz="4" w:space="0"/>
            </w:tcBorders>
            <w:noWrap w:val="0"/>
            <w:vAlign w:val="center"/>
          </w:tcPr>
          <w:p w14:paraId="562EE4E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155" w:type="dxa"/>
            <w:tcBorders>
              <w:top w:val="single" w:color="auto" w:sz="4" w:space="0"/>
              <w:left w:val="nil"/>
              <w:bottom w:val="single" w:color="auto" w:sz="4" w:space="0"/>
              <w:right w:val="single" w:color="auto" w:sz="4" w:space="0"/>
            </w:tcBorders>
            <w:noWrap w:val="0"/>
            <w:vAlign w:val="center"/>
          </w:tcPr>
          <w:p w14:paraId="049094B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6E61E428">
        <w:tblPrEx>
          <w:tblCellMar>
            <w:top w:w="0" w:type="dxa"/>
            <w:left w:w="108" w:type="dxa"/>
            <w:bottom w:w="0" w:type="dxa"/>
            <w:right w:w="108" w:type="dxa"/>
          </w:tblCellMar>
        </w:tblPrEx>
        <w:trPr>
          <w:trHeight w:val="255" w:hRule="atLeast"/>
          <w:jc w:val="center"/>
        </w:trPr>
        <w:tc>
          <w:tcPr>
            <w:tcW w:w="368" w:type="pct"/>
            <w:vMerge w:val="restart"/>
            <w:tcBorders>
              <w:top w:val="nil"/>
              <w:left w:val="single" w:color="auto" w:sz="4" w:space="0"/>
              <w:right w:val="single" w:color="auto" w:sz="4" w:space="0"/>
            </w:tcBorders>
            <w:noWrap w:val="0"/>
            <w:vAlign w:val="center"/>
          </w:tcPr>
          <w:p w14:paraId="44B8C1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685688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p w14:paraId="696B42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eastAsia="zh-CN"/>
              </w:rPr>
              <w:t>　　</w:t>
            </w:r>
          </w:p>
          <w:p w14:paraId="29DC71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eastAsia="zh-CN"/>
              </w:rPr>
              <w:t>　　</w:t>
            </w:r>
          </w:p>
        </w:tc>
        <w:tc>
          <w:tcPr>
            <w:tcW w:w="1031" w:type="pct"/>
            <w:tcBorders>
              <w:top w:val="nil"/>
              <w:left w:val="nil"/>
              <w:bottom w:val="single" w:color="auto" w:sz="4" w:space="0"/>
              <w:right w:val="single" w:color="auto" w:sz="4" w:space="0"/>
            </w:tcBorders>
            <w:noWrap w:val="0"/>
            <w:vAlign w:val="center"/>
          </w:tcPr>
          <w:p w14:paraId="44E3A9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685" w:type="pct"/>
            <w:tcBorders>
              <w:top w:val="nil"/>
              <w:left w:val="nil"/>
              <w:bottom w:val="single" w:color="auto" w:sz="4" w:space="0"/>
              <w:right w:val="single" w:color="auto" w:sz="4" w:space="0"/>
            </w:tcBorders>
            <w:noWrap w:val="0"/>
            <w:vAlign w:val="center"/>
          </w:tcPr>
          <w:p w14:paraId="0313AC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≤100</w:t>
            </w:r>
          </w:p>
        </w:tc>
        <w:tc>
          <w:tcPr>
            <w:tcW w:w="678" w:type="pct"/>
            <w:tcBorders>
              <w:top w:val="nil"/>
              <w:left w:val="nil"/>
              <w:bottom w:val="single" w:color="auto" w:sz="4" w:space="0"/>
              <w:right w:val="single" w:color="auto" w:sz="4" w:space="0"/>
            </w:tcBorders>
            <w:noWrap w:val="0"/>
            <w:vAlign w:val="center"/>
          </w:tcPr>
          <w:p w14:paraId="044586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100—300]</w:t>
            </w:r>
          </w:p>
        </w:tc>
        <w:tc>
          <w:tcPr>
            <w:tcW w:w="751" w:type="pct"/>
            <w:tcBorders>
              <w:top w:val="nil"/>
              <w:left w:val="nil"/>
              <w:bottom w:val="single" w:color="auto" w:sz="4" w:space="0"/>
              <w:right w:val="single" w:color="auto" w:sz="4" w:space="0"/>
            </w:tcBorders>
            <w:noWrap w:val="0"/>
            <w:vAlign w:val="center"/>
          </w:tcPr>
          <w:p w14:paraId="6CDFF0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802" w:type="pct"/>
            <w:tcBorders>
              <w:top w:val="nil"/>
              <w:left w:val="nil"/>
              <w:bottom w:val="single" w:color="auto" w:sz="4" w:space="0"/>
              <w:right w:val="single" w:color="auto" w:sz="4" w:space="0"/>
            </w:tcBorders>
            <w:noWrap w:val="0"/>
            <w:vAlign w:val="center"/>
          </w:tcPr>
          <w:p w14:paraId="6F289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682" w:type="pct"/>
            <w:tcBorders>
              <w:top w:val="nil"/>
              <w:left w:val="nil"/>
              <w:bottom w:val="single" w:color="auto" w:sz="4" w:space="0"/>
              <w:right w:val="single" w:color="auto" w:sz="4" w:space="0"/>
            </w:tcBorders>
            <w:noWrap w:val="0"/>
            <w:vAlign w:val="center"/>
          </w:tcPr>
          <w:p w14:paraId="0D358E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&gt;700</w:t>
            </w:r>
          </w:p>
        </w:tc>
      </w:tr>
      <w:tr w14:paraId="4A411C86">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633880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5C00F3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685" w:type="pct"/>
            <w:tcBorders>
              <w:top w:val="nil"/>
              <w:left w:val="nil"/>
              <w:bottom w:val="single" w:color="auto" w:sz="4" w:space="0"/>
              <w:right w:val="single" w:color="auto" w:sz="4" w:space="0"/>
            </w:tcBorders>
            <w:noWrap w:val="0"/>
            <w:vAlign w:val="center"/>
          </w:tcPr>
          <w:p w14:paraId="242334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678" w:type="pct"/>
            <w:tcBorders>
              <w:top w:val="nil"/>
              <w:left w:val="nil"/>
              <w:bottom w:val="single" w:color="auto" w:sz="4" w:space="0"/>
              <w:right w:val="single" w:color="auto" w:sz="4" w:space="0"/>
            </w:tcBorders>
            <w:noWrap w:val="0"/>
            <w:vAlign w:val="center"/>
          </w:tcPr>
          <w:p w14:paraId="7AE23B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51" w:type="pct"/>
            <w:tcBorders>
              <w:top w:val="nil"/>
              <w:left w:val="nil"/>
              <w:bottom w:val="single" w:color="auto" w:sz="4" w:space="0"/>
              <w:right w:val="single" w:color="auto" w:sz="4" w:space="0"/>
            </w:tcBorders>
            <w:noWrap w:val="0"/>
            <w:vAlign w:val="center"/>
          </w:tcPr>
          <w:p w14:paraId="5127B0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生活型次干道或交通型主干道</w:t>
            </w:r>
          </w:p>
        </w:tc>
        <w:tc>
          <w:tcPr>
            <w:tcW w:w="802" w:type="pct"/>
            <w:tcBorders>
              <w:top w:val="nil"/>
              <w:left w:val="nil"/>
              <w:bottom w:val="single" w:color="auto" w:sz="4" w:space="0"/>
              <w:right w:val="single" w:color="auto" w:sz="4" w:space="0"/>
            </w:tcBorders>
            <w:noWrap w:val="0"/>
            <w:vAlign w:val="center"/>
          </w:tcPr>
          <w:p w14:paraId="67669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82" w:type="pct"/>
            <w:tcBorders>
              <w:top w:val="nil"/>
              <w:left w:val="nil"/>
              <w:bottom w:val="single" w:color="auto" w:sz="4" w:space="0"/>
              <w:right w:val="single" w:color="auto" w:sz="4" w:space="0"/>
            </w:tcBorders>
            <w:noWrap w:val="0"/>
            <w:vAlign w:val="center"/>
          </w:tcPr>
          <w:p w14:paraId="0866C7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7D0C7520">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4E7598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391305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685" w:type="pct"/>
            <w:tcBorders>
              <w:top w:val="nil"/>
              <w:left w:val="nil"/>
              <w:bottom w:val="single" w:color="auto" w:sz="4" w:space="0"/>
              <w:right w:val="single" w:color="auto" w:sz="4" w:space="0"/>
            </w:tcBorders>
            <w:noWrap w:val="0"/>
            <w:vAlign w:val="center"/>
          </w:tcPr>
          <w:p w14:paraId="55A8A4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678" w:type="pct"/>
            <w:tcBorders>
              <w:top w:val="nil"/>
              <w:left w:val="nil"/>
              <w:bottom w:val="single" w:color="auto" w:sz="4" w:space="0"/>
              <w:right w:val="single" w:color="auto" w:sz="4" w:space="0"/>
            </w:tcBorders>
            <w:noWrap w:val="0"/>
            <w:vAlign w:val="center"/>
          </w:tcPr>
          <w:p w14:paraId="4BF456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51" w:type="pct"/>
            <w:tcBorders>
              <w:top w:val="nil"/>
              <w:left w:val="nil"/>
              <w:bottom w:val="single" w:color="auto" w:sz="4" w:space="0"/>
              <w:right w:val="single" w:color="auto" w:sz="4" w:space="0"/>
            </w:tcBorders>
            <w:noWrap w:val="0"/>
            <w:vAlign w:val="center"/>
          </w:tcPr>
          <w:p w14:paraId="695F8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802" w:type="pct"/>
            <w:tcBorders>
              <w:top w:val="nil"/>
              <w:left w:val="nil"/>
              <w:bottom w:val="single" w:color="auto" w:sz="4" w:space="0"/>
              <w:right w:val="single" w:color="auto" w:sz="4" w:space="0"/>
            </w:tcBorders>
            <w:noWrap w:val="0"/>
            <w:vAlign w:val="center"/>
          </w:tcPr>
          <w:p w14:paraId="384019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82" w:type="pct"/>
            <w:tcBorders>
              <w:top w:val="nil"/>
              <w:left w:val="nil"/>
              <w:bottom w:val="single" w:color="auto" w:sz="4" w:space="0"/>
              <w:right w:val="single" w:color="auto" w:sz="4" w:space="0"/>
            </w:tcBorders>
            <w:noWrap w:val="0"/>
            <w:vAlign w:val="center"/>
          </w:tcPr>
          <w:p w14:paraId="5742D8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54F43721">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2C2DF1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592DDA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685" w:type="pct"/>
            <w:tcBorders>
              <w:top w:val="nil"/>
              <w:left w:val="nil"/>
              <w:bottom w:val="single" w:color="auto" w:sz="4" w:space="0"/>
              <w:right w:val="single" w:color="auto" w:sz="4" w:space="0"/>
            </w:tcBorders>
            <w:noWrap w:val="0"/>
            <w:vAlign w:val="center"/>
          </w:tcPr>
          <w:p w14:paraId="4310E7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678" w:type="pct"/>
            <w:tcBorders>
              <w:top w:val="nil"/>
              <w:left w:val="nil"/>
              <w:bottom w:val="single" w:color="auto" w:sz="4" w:space="0"/>
              <w:right w:val="single" w:color="auto" w:sz="4" w:space="0"/>
            </w:tcBorders>
            <w:noWrap w:val="0"/>
            <w:vAlign w:val="center"/>
          </w:tcPr>
          <w:p w14:paraId="4FFFCE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751" w:type="pct"/>
            <w:tcBorders>
              <w:top w:val="nil"/>
              <w:left w:val="nil"/>
              <w:bottom w:val="single" w:color="auto" w:sz="4" w:space="0"/>
              <w:right w:val="single" w:color="auto" w:sz="4" w:space="0"/>
            </w:tcBorders>
            <w:noWrap w:val="0"/>
            <w:vAlign w:val="center"/>
          </w:tcPr>
          <w:p w14:paraId="2ED3A1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802" w:type="pct"/>
            <w:tcBorders>
              <w:top w:val="nil"/>
              <w:left w:val="nil"/>
              <w:bottom w:val="single" w:color="auto" w:sz="4" w:space="0"/>
              <w:right w:val="single" w:color="auto" w:sz="4" w:space="0"/>
            </w:tcBorders>
            <w:noWrap w:val="0"/>
            <w:vAlign w:val="center"/>
          </w:tcPr>
          <w:p w14:paraId="642A6C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682" w:type="pct"/>
            <w:tcBorders>
              <w:top w:val="nil"/>
              <w:left w:val="nil"/>
              <w:bottom w:val="single" w:color="auto" w:sz="4" w:space="0"/>
              <w:right w:val="single" w:color="auto" w:sz="4" w:space="0"/>
            </w:tcBorders>
            <w:noWrap w:val="0"/>
            <w:vAlign w:val="center"/>
          </w:tcPr>
          <w:p w14:paraId="178E60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59E9C897">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775ED6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5F5D22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685" w:type="pct"/>
            <w:tcBorders>
              <w:top w:val="nil"/>
              <w:left w:val="nil"/>
              <w:bottom w:val="single" w:color="auto" w:sz="4" w:space="0"/>
              <w:right w:val="single" w:color="auto" w:sz="4" w:space="0"/>
            </w:tcBorders>
            <w:noWrap w:val="0"/>
            <w:vAlign w:val="center"/>
          </w:tcPr>
          <w:p w14:paraId="75EEF5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678" w:type="pct"/>
            <w:tcBorders>
              <w:top w:val="nil"/>
              <w:left w:val="nil"/>
              <w:bottom w:val="single" w:color="auto" w:sz="4" w:space="0"/>
              <w:right w:val="single" w:color="auto" w:sz="4" w:space="0"/>
            </w:tcBorders>
            <w:noWrap w:val="0"/>
            <w:vAlign w:val="center"/>
          </w:tcPr>
          <w:p w14:paraId="5FBE65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51" w:type="pct"/>
            <w:tcBorders>
              <w:top w:val="nil"/>
              <w:left w:val="nil"/>
              <w:bottom w:val="single" w:color="auto" w:sz="4" w:space="0"/>
              <w:right w:val="single" w:color="auto" w:sz="4" w:space="0"/>
            </w:tcBorders>
            <w:noWrap w:val="0"/>
            <w:vAlign w:val="center"/>
          </w:tcPr>
          <w:p w14:paraId="322711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802" w:type="pct"/>
            <w:tcBorders>
              <w:top w:val="nil"/>
              <w:left w:val="nil"/>
              <w:bottom w:val="single" w:color="auto" w:sz="4" w:space="0"/>
              <w:right w:val="single" w:color="auto" w:sz="4" w:space="0"/>
            </w:tcBorders>
            <w:noWrap w:val="0"/>
            <w:vAlign w:val="center"/>
          </w:tcPr>
          <w:p w14:paraId="73B64F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82" w:type="pct"/>
            <w:tcBorders>
              <w:top w:val="nil"/>
              <w:left w:val="nil"/>
              <w:bottom w:val="single" w:color="auto" w:sz="4" w:space="0"/>
              <w:right w:val="single" w:color="auto" w:sz="4" w:space="0"/>
            </w:tcBorders>
            <w:noWrap w:val="0"/>
            <w:vAlign w:val="center"/>
          </w:tcPr>
          <w:p w14:paraId="71F548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5A2FC377">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56B241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01B3DE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685" w:type="pct"/>
            <w:tcBorders>
              <w:top w:val="nil"/>
              <w:left w:val="nil"/>
              <w:bottom w:val="single" w:color="auto" w:sz="4" w:space="0"/>
              <w:right w:val="single" w:color="auto" w:sz="4" w:space="0"/>
            </w:tcBorders>
            <w:shd w:val="clear" w:color="auto" w:fill="auto"/>
            <w:noWrap w:val="0"/>
            <w:vAlign w:val="center"/>
          </w:tcPr>
          <w:p w14:paraId="08EFCA4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678" w:type="pct"/>
            <w:tcBorders>
              <w:top w:val="nil"/>
              <w:left w:val="nil"/>
              <w:bottom w:val="single" w:color="auto" w:sz="4" w:space="0"/>
              <w:right w:val="single" w:color="auto" w:sz="4" w:space="0"/>
            </w:tcBorders>
            <w:shd w:val="clear" w:color="auto" w:fill="auto"/>
            <w:noWrap w:val="0"/>
            <w:vAlign w:val="center"/>
          </w:tcPr>
          <w:p w14:paraId="6077CC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51" w:type="pct"/>
            <w:tcBorders>
              <w:top w:val="nil"/>
              <w:left w:val="nil"/>
              <w:bottom w:val="single" w:color="auto" w:sz="4" w:space="0"/>
              <w:right w:val="single" w:color="auto" w:sz="4" w:space="0"/>
            </w:tcBorders>
            <w:shd w:val="clear" w:color="auto" w:fill="auto"/>
            <w:noWrap w:val="0"/>
            <w:vAlign w:val="center"/>
          </w:tcPr>
          <w:p w14:paraId="3F4178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802" w:type="pct"/>
            <w:tcBorders>
              <w:top w:val="nil"/>
              <w:left w:val="nil"/>
              <w:bottom w:val="single" w:color="auto" w:sz="4" w:space="0"/>
              <w:right w:val="single" w:color="auto" w:sz="4" w:space="0"/>
            </w:tcBorders>
            <w:shd w:val="clear" w:color="auto" w:fill="auto"/>
            <w:noWrap w:val="0"/>
            <w:vAlign w:val="center"/>
          </w:tcPr>
          <w:p w14:paraId="2E9D2DA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82" w:type="pct"/>
            <w:tcBorders>
              <w:top w:val="nil"/>
              <w:left w:val="nil"/>
              <w:bottom w:val="single" w:color="auto" w:sz="4" w:space="0"/>
              <w:right w:val="single" w:color="auto" w:sz="4" w:space="0"/>
            </w:tcBorders>
            <w:shd w:val="clear" w:color="auto" w:fill="auto"/>
            <w:noWrap w:val="0"/>
            <w:vAlign w:val="center"/>
          </w:tcPr>
          <w:p w14:paraId="12DD3E0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38FB89FD">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05FDB1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503844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1195" w:type="dxa"/>
            <w:tcBorders>
              <w:top w:val="nil"/>
              <w:left w:val="nil"/>
              <w:bottom w:val="single" w:color="auto" w:sz="4" w:space="0"/>
              <w:right w:val="single" w:color="auto" w:sz="4" w:space="0"/>
            </w:tcBorders>
            <w:noWrap w:val="0"/>
            <w:vAlign w:val="center"/>
          </w:tcPr>
          <w:p w14:paraId="36EB48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p>
        </w:tc>
        <w:tc>
          <w:tcPr>
            <w:tcW w:w="1183" w:type="dxa"/>
            <w:tcBorders>
              <w:top w:val="nil"/>
              <w:left w:val="nil"/>
              <w:bottom w:val="single" w:color="auto" w:sz="4" w:space="0"/>
              <w:right w:val="single" w:color="auto" w:sz="4" w:space="0"/>
            </w:tcBorders>
            <w:noWrap w:val="0"/>
            <w:vAlign w:val="center"/>
          </w:tcPr>
          <w:p w14:paraId="43546A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500</w:t>
            </w:r>
            <w:r>
              <w:rPr>
                <w:rFonts w:hint="eastAsia" w:ascii="Times New Roman" w:hAnsi="Times New Roman" w:eastAsia="仿宋" w:cs="仿宋"/>
                <w:b w:val="0"/>
                <w:bCs w:val="0"/>
                <w:caps w:val="0"/>
                <w:smallCaps w:val="0"/>
                <w:color w:val="auto"/>
                <w:sz w:val="21"/>
                <w:szCs w:val="21"/>
                <w:highlight w:val="none"/>
                <w:lang w:eastAsia="zh-CN"/>
              </w:rPr>
              <w:t>）</w:t>
            </w:r>
          </w:p>
        </w:tc>
        <w:tc>
          <w:tcPr>
            <w:tcW w:w="1311" w:type="dxa"/>
            <w:tcBorders>
              <w:top w:val="nil"/>
              <w:left w:val="nil"/>
              <w:bottom w:val="single" w:color="auto" w:sz="4" w:space="0"/>
              <w:right w:val="single" w:color="auto" w:sz="4" w:space="0"/>
            </w:tcBorders>
            <w:noWrap w:val="0"/>
            <w:vAlign w:val="center"/>
          </w:tcPr>
          <w:p w14:paraId="5F66A8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400</w:t>
            </w:r>
            <w:r>
              <w:rPr>
                <w:rFonts w:hint="eastAsia" w:ascii="Times New Roman" w:hAnsi="Times New Roman" w:eastAsia="仿宋" w:cs="仿宋"/>
                <w:b w:val="0"/>
                <w:bCs w:val="0"/>
                <w:caps w:val="0"/>
                <w:smallCaps w:val="0"/>
                <w:color w:val="auto"/>
                <w:sz w:val="21"/>
                <w:szCs w:val="21"/>
                <w:highlight w:val="none"/>
                <w:lang w:eastAsia="zh-CN"/>
              </w:rPr>
              <w:t>）</w:t>
            </w:r>
          </w:p>
        </w:tc>
        <w:tc>
          <w:tcPr>
            <w:tcW w:w="1400" w:type="dxa"/>
            <w:tcBorders>
              <w:top w:val="nil"/>
              <w:left w:val="nil"/>
              <w:bottom w:val="single" w:color="auto" w:sz="4" w:space="0"/>
              <w:right w:val="single" w:color="auto" w:sz="4" w:space="0"/>
            </w:tcBorders>
            <w:noWrap w:val="0"/>
            <w:vAlign w:val="center"/>
          </w:tcPr>
          <w:p w14:paraId="411B5DA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300</w:t>
            </w:r>
            <w:r>
              <w:rPr>
                <w:rFonts w:hint="eastAsia" w:ascii="Times New Roman" w:hAnsi="Times New Roman" w:eastAsia="仿宋" w:cs="仿宋"/>
                <w:b w:val="0"/>
                <w:bCs w:val="0"/>
                <w:caps w:val="0"/>
                <w:smallCaps w:val="0"/>
                <w:color w:val="auto"/>
                <w:sz w:val="21"/>
                <w:szCs w:val="21"/>
                <w:highlight w:val="none"/>
                <w:lang w:eastAsia="zh-CN"/>
              </w:rPr>
              <w:t>）</w:t>
            </w:r>
          </w:p>
        </w:tc>
        <w:tc>
          <w:tcPr>
            <w:tcW w:w="1191" w:type="dxa"/>
            <w:tcBorders>
              <w:top w:val="nil"/>
              <w:left w:val="nil"/>
              <w:bottom w:val="single" w:color="auto" w:sz="4" w:space="0"/>
              <w:right w:val="single" w:color="auto" w:sz="4" w:space="0"/>
            </w:tcBorders>
            <w:noWrap w:val="0"/>
            <w:vAlign w:val="center"/>
          </w:tcPr>
          <w:p w14:paraId="0564DE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default" w:ascii="Times New Roman" w:hAnsi="Times New Roman" w:eastAsia="仿宋" w:cs="仿宋"/>
                <w:b w:val="0"/>
                <w:bCs w:val="0"/>
                <w:caps w:val="0"/>
                <w:smallCaps w:val="0"/>
                <w:color w:val="auto"/>
                <w:sz w:val="21"/>
                <w:szCs w:val="21"/>
                <w:highlight w:val="none"/>
                <w:lang w:eastAsia="zh-CN"/>
              </w:rPr>
              <w:t>200</w:t>
            </w:r>
          </w:p>
        </w:tc>
      </w:tr>
      <w:tr w14:paraId="51DCB9DF">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422736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1031" w:type="pct"/>
            <w:tcBorders>
              <w:top w:val="single" w:color="auto" w:sz="4" w:space="0"/>
              <w:left w:val="nil"/>
              <w:bottom w:val="single" w:color="auto" w:sz="4" w:space="0"/>
              <w:right w:val="single" w:color="auto" w:sz="4" w:space="0"/>
            </w:tcBorders>
            <w:noWrap w:val="0"/>
            <w:vAlign w:val="center"/>
          </w:tcPr>
          <w:p w14:paraId="47F31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银行</w:t>
            </w:r>
            <w:r>
              <w:rPr>
                <w:rFonts w:hint="eastAsia" w:ascii="Times New Roman" w:hAnsi="Times New Roman" w:eastAsia="仿宋" w:cs="仿宋"/>
                <w:b w:val="0"/>
                <w:bCs w:val="0"/>
                <w:caps w:val="0"/>
                <w:smallCaps w:val="0"/>
                <w:color w:val="auto"/>
                <w:sz w:val="21"/>
                <w:szCs w:val="21"/>
                <w:highlight w:val="none"/>
              </w:rPr>
              <w:t>距离（米）</w:t>
            </w:r>
          </w:p>
        </w:tc>
        <w:tc>
          <w:tcPr>
            <w:tcW w:w="685" w:type="pct"/>
            <w:tcBorders>
              <w:top w:val="nil"/>
              <w:left w:val="nil"/>
              <w:bottom w:val="single" w:color="auto" w:sz="4" w:space="0"/>
              <w:right w:val="single" w:color="auto" w:sz="4" w:space="0"/>
            </w:tcBorders>
            <w:noWrap w:val="0"/>
            <w:vAlign w:val="center"/>
          </w:tcPr>
          <w:p w14:paraId="02B08B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678" w:type="pct"/>
            <w:tcBorders>
              <w:top w:val="nil"/>
              <w:left w:val="nil"/>
              <w:bottom w:val="single" w:color="auto" w:sz="4" w:space="0"/>
              <w:right w:val="single" w:color="auto" w:sz="4" w:space="0"/>
            </w:tcBorders>
            <w:noWrap w:val="0"/>
            <w:vAlign w:val="center"/>
          </w:tcPr>
          <w:p w14:paraId="4D68C1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51" w:type="pct"/>
            <w:tcBorders>
              <w:top w:val="nil"/>
              <w:left w:val="nil"/>
              <w:bottom w:val="single" w:color="auto" w:sz="4" w:space="0"/>
              <w:right w:val="single" w:color="auto" w:sz="4" w:space="0"/>
            </w:tcBorders>
            <w:noWrap w:val="0"/>
            <w:vAlign w:val="center"/>
          </w:tcPr>
          <w:p w14:paraId="2F9035A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802" w:type="pct"/>
            <w:tcBorders>
              <w:top w:val="nil"/>
              <w:left w:val="nil"/>
              <w:bottom w:val="single" w:color="auto" w:sz="4" w:space="0"/>
              <w:right w:val="single" w:color="auto" w:sz="4" w:space="0"/>
            </w:tcBorders>
            <w:noWrap w:val="0"/>
            <w:vAlign w:val="center"/>
          </w:tcPr>
          <w:p w14:paraId="65CDD2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700—</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c>
          <w:tcPr>
            <w:tcW w:w="682" w:type="pct"/>
            <w:tcBorders>
              <w:top w:val="nil"/>
              <w:left w:val="nil"/>
              <w:bottom w:val="single" w:color="auto" w:sz="4" w:space="0"/>
              <w:right w:val="single" w:color="auto" w:sz="4" w:space="0"/>
            </w:tcBorders>
            <w:noWrap w:val="0"/>
            <w:vAlign w:val="center"/>
          </w:tcPr>
          <w:p w14:paraId="132CDE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800</w:t>
            </w:r>
          </w:p>
        </w:tc>
      </w:tr>
      <w:tr w14:paraId="7B5D2F35">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1669B4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296368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学校</w:t>
            </w:r>
            <w:r>
              <w:rPr>
                <w:rFonts w:hint="eastAsia" w:ascii="Times New Roman" w:hAnsi="Times New Roman" w:eastAsia="仿宋" w:cs="仿宋"/>
                <w:b w:val="0"/>
                <w:bCs w:val="0"/>
                <w:caps w:val="0"/>
                <w:smallCaps w:val="0"/>
                <w:color w:val="auto"/>
                <w:sz w:val="21"/>
                <w:szCs w:val="21"/>
                <w:highlight w:val="none"/>
              </w:rPr>
              <w:t>距离（米）</w:t>
            </w:r>
          </w:p>
        </w:tc>
        <w:tc>
          <w:tcPr>
            <w:tcW w:w="685" w:type="pct"/>
            <w:tcBorders>
              <w:top w:val="nil"/>
              <w:left w:val="nil"/>
              <w:bottom w:val="single" w:color="auto" w:sz="4" w:space="0"/>
              <w:right w:val="single" w:color="auto" w:sz="4" w:space="0"/>
            </w:tcBorders>
            <w:noWrap w:val="0"/>
            <w:vAlign w:val="center"/>
          </w:tcPr>
          <w:p w14:paraId="13EBAD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678" w:type="pct"/>
            <w:tcBorders>
              <w:top w:val="nil"/>
              <w:left w:val="nil"/>
              <w:bottom w:val="single" w:color="auto" w:sz="4" w:space="0"/>
              <w:right w:val="single" w:color="auto" w:sz="4" w:space="0"/>
            </w:tcBorders>
            <w:noWrap w:val="0"/>
            <w:vAlign w:val="center"/>
          </w:tcPr>
          <w:p w14:paraId="5878F6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51" w:type="pct"/>
            <w:tcBorders>
              <w:top w:val="nil"/>
              <w:left w:val="nil"/>
              <w:bottom w:val="single" w:color="auto" w:sz="4" w:space="0"/>
              <w:right w:val="single" w:color="auto" w:sz="4" w:space="0"/>
            </w:tcBorders>
            <w:noWrap w:val="0"/>
            <w:vAlign w:val="center"/>
          </w:tcPr>
          <w:p w14:paraId="56800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802" w:type="pct"/>
            <w:tcBorders>
              <w:top w:val="nil"/>
              <w:left w:val="nil"/>
              <w:bottom w:val="single" w:color="auto" w:sz="4" w:space="0"/>
              <w:right w:val="single" w:color="auto" w:sz="4" w:space="0"/>
            </w:tcBorders>
            <w:noWrap w:val="0"/>
            <w:vAlign w:val="center"/>
          </w:tcPr>
          <w:p w14:paraId="7F91A4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c>
          <w:tcPr>
            <w:tcW w:w="682" w:type="pct"/>
            <w:tcBorders>
              <w:top w:val="nil"/>
              <w:left w:val="nil"/>
              <w:bottom w:val="single" w:color="auto" w:sz="4" w:space="0"/>
              <w:right w:val="single" w:color="auto" w:sz="4" w:space="0"/>
            </w:tcBorders>
            <w:noWrap w:val="0"/>
            <w:vAlign w:val="center"/>
          </w:tcPr>
          <w:p w14:paraId="0D79F70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800</w:t>
            </w:r>
          </w:p>
        </w:tc>
      </w:tr>
      <w:tr w14:paraId="572B2B98">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bottom w:val="single" w:color="000000" w:sz="4" w:space="0"/>
              <w:right w:val="single" w:color="auto" w:sz="4" w:space="0"/>
            </w:tcBorders>
            <w:noWrap w:val="0"/>
            <w:vAlign w:val="center"/>
          </w:tcPr>
          <w:p w14:paraId="6DFDCD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36CCA0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距医院距离（米）</w:t>
            </w:r>
          </w:p>
        </w:tc>
        <w:tc>
          <w:tcPr>
            <w:tcW w:w="685" w:type="pct"/>
            <w:tcBorders>
              <w:top w:val="nil"/>
              <w:left w:val="nil"/>
              <w:bottom w:val="single" w:color="auto" w:sz="4" w:space="0"/>
              <w:right w:val="single" w:color="auto" w:sz="4" w:space="0"/>
            </w:tcBorders>
            <w:noWrap w:val="0"/>
            <w:vAlign w:val="center"/>
          </w:tcPr>
          <w:p w14:paraId="33AF44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678" w:type="pct"/>
            <w:tcBorders>
              <w:top w:val="nil"/>
              <w:left w:val="nil"/>
              <w:bottom w:val="single" w:color="auto" w:sz="4" w:space="0"/>
              <w:right w:val="single" w:color="auto" w:sz="4" w:space="0"/>
            </w:tcBorders>
            <w:noWrap w:val="0"/>
            <w:vAlign w:val="center"/>
          </w:tcPr>
          <w:p w14:paraId="567EEA2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51" w:type="pct"/>
            <w:tcBorders>
              <w:top w:val="nil"/>
              <w:left w:val="nil"/>
              <w:bottom w:val="single" w:color="auto" w:sz="4" w:space="0"/>
              <w:right w:val="single" w:color="auto" w:sz="4" w:space="0"/>
            </w:tcBorders>
            <w:noWrap w:val="0"/>
            <w:vAlign w:val="center"/>
          </w:tcPr>
          <w:p w14:paraId="5819C3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802" w:type="pct"/>
            <w:tcBorders>
              <w:top w:val="nil"/>
              <w:left w:val="nil"/>
              <w:bottom w:val="single" w:color="auto" w:sz="4" w:space="0"/>
              <w:right w:val="single" w:color="auto" w:sz="4" w:space="0"/>
            </w:tcBorders>
            <w:noWrap w:val="0"/>
            <w:vAlign w:val="center"/>
          </w:tcPr>
          <w:p w14:paraId="1614F2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700</w:t>
            </w: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800</w:t>
            </w:r>
            <w:r>
              <w:rPr>
                <w:rFonts w:hint="eastAsia" w:ascii="Times New Roman" w:hAnsi="Times New Roman" w:eastAsia="仿宋" w:cs="仿宋"/>
                <w:b w:val="0"/>
                <w:bCs w:val="0"/>
                <w:caps w:val="0"/>
                <w:smallCaps w:val="0"/>
                <w:color w:val="auto"/>
                <w:sz w:val="21"/>
                <w:szCs w:val="21"/>
                <w:highlight w:val="none"/>
              </w:rPr>
              <w:t>]</w:t>
            </w:r>
          </w:p>
        </w:tc>
        <w:tc>
          <w:tcPr>
            <w:tcW w:w="682" w:type="pct"/>
            <w:tcBorders>
              <w:top w:val="nil"/>
              <w:left w:val="nil"/>
              <w:bottom w:val="single" w:color="auto" w:sz="4" w:space="0"/>
              <w:right w:val="single" w:color="auto" w:sz="4" w:space="0"/>
            </w:tcBorders>
            <w:noWrap w:val="0"/>
            <w:vAlign w:val="center"/>
          </w:tcPr>
          <w:p w14:paraId="078754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8</w:t>
            </w:r>
            <w:r>
              <w:rPr>
                <w:rFonts w:hint="eastAsia" w:ascii="Times New Roman" w:hAnsi="Times New Roman" w:eastAsia="仿宋" w:cs="仿宋"/>
                <w:b w:val="0"/>
                <w:bCs w:val="0"/>
                <w:caps w:val="0"/>
                <w:smallCaps w:val="0"/>
                <w:color w:val="auto"/>
                <w:sz w:val="21"/>
                <w:szCs w:val="21"/>
                <w:highlight w:val="none"/>
              </w:rPr>
              <w:t>00</w:t>
            </w:r>
          </w:p>
        </w:tc>
      </w:tr>
      <w:tr w14:paraId="3C202DCB">
        <w:tblPrEx>
          <w:tblCellMar>
            <w:top w:w="0" w:type="dxa"/>
            <w:left w:w="108" w:type="dxa"/>
            <w:bottom w:w="0" w:type="dxa"/>
            <w:right w:w="108" w:type="dxa"/>
          </w:tblCellMar>
        </w:tblPrEx>
        <w:trPr>
          <w:trHeight w:val="255" w:hRule="atLeast"/>
          <w:jc w:val="center"/>
        </w:trPr>
        <w:tc>
          <w:tcPr>
            <w:tcW w:w="368" w:type="pct"/>
            <w:vMerge w:val="restart"/>
            <w:tcBorders>
              <w:top w:val="nil"/>
              <w:left w:val="single" w:color="auto" w:sz="4" w:space="0"/>
              <w:right w:val="single" w:color="auto" w:sz="4" w:space="0"/>
            </w:tcBorders>
            <w:noWrap w:val="0"/>
            <w:vAlign w:val="center"/>
          </w:tcPr>
          <w:p w14:paraId="433323D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573F5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rPr>
              <w:t>因素</w:t>
            </w:r>
          </w:p>
        </w:tc>
        <w:tc>
          <w:tcPr>
            <w:tcW w:w="1031" w:type="pct"/>
            <w:tcBorders>
              <w:top w:val="nil"/>
              <w:left w:val="nil"/>
              <w:bottom w:val="single" w:color="auto" w:sz="4" w:space="0"/>
              <w:right w:val="single" w:color="auto" w:sz="4" w:space="0"/>
            </w:tcBorders>
            <w:noWrap w:val="0"/>
            <w:vAlign w:val="center"/>
          </w:tcPr>
          <w:p w14:paraId="7DB080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环境条件</w:t>
            </w:r>
          </w:p>
        </w:tc>
        <w:tc>
          <w:tcPr>
            <w:tcW w:w="685" w:type="pct"/>
            <w:tcBorders>
              <w:top w:val="nil"/>
              <w:left w:val="nil"/>
              <w:bottom w:val="single" w:color="auto" w:sz="4" w:space="0"/>
              <w:right w:val="single" w:color="auto" w:sz="4" w:space="0"/>
            </w:tcBorders>
            <w:noWrap w:val="0"/>
            <w:vAlign w:val="center"/>
          </w:tcPr>
          <w:p w14:paraId="5428EB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环境优良，无污染</w:t>
            </w:r>
          </w:p>
        </w:tc>
        <w:tc>
          <w:tcPr>
            <w:tcW w:w="678" w:type="pct"/>
            <w:tcBorders>
              <w:top w:val="nil"/>
              <w:left w:val="nil"/>
              <w:bottom w:val="single" w:color="auto" w:sz="4" w:space="0"/>
              <w:right w:val="single" w:color="auto" w:sz="4" w:space="0"/>
            </w:tcBorders>
            <w:noWrap w:val="0"/>
            <w:vAlign w:val="center"/>
          </w:tcPr>
          <w:p w14:paraId="6F01E4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环境良好，基本无污染</w:t>
            </w:r>
          </w:p>
        </w:tc>
        <w:tc>
          <w:tcPr>
            <w:tcW w:w="751" w:type="pct"/>
            <w:tcBorders>
              <w:top w:val="nil"/>
              <w:left w:val="nil"/>
              <w:bottom w:val="single" w:color="auto" w:sz="4" w:space="0"/>
              <w:right w:val="single" w:color="auto" w:sz="4" w:space="0"/>
            </w:tcBorders>
            <w:noWrap w:val="0"/>
            <w:vAlign w:val="center"/>
          </w:tcPr>
          <w:p w14:paraId="2A74E9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环境一般，轻度污染</w:t>
            </w:r>
          </w:p>
        </w:tc>
        <w:tc>
          <w:tcPr>
            <w:tcW w:w="802" w:type="pct"/>
            <w:tcBorders>
              <w:top w:val="nil"/>
              <w:left w:val="nil"/>
              <w:bottom w:val="single" w:color="auto" w:sz="4" w:space="0"/>
              <w:right w:val="single" w:color="auto" w:sz="4" w:space="0"/>
            </w:tcBorders>
            <w:noWrap w:val="0"/>
            <w:vAlign w:val="center"/>
          </w:tcPr>
          <w:p w14:paraId="406FFF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环境较差，污染较重</w:t>
            </w:r>
          </w:p>
        </w:tc>
        <w:tc>
          <w:tcPr>
            <w:tcW w:w="682" w:type="pct"/>
            <w:tcBorders>
              <w:top w:val="nil"/>
              <w:left w:val="nil"/>
              <w:bottom w:val="single" w:color="auto" w:sz="4" w:space="0"/>
              <w:right w:val="single" w:color="auto" w:sz="4" w:space="0"/>
            </w:tcBorders>
            <w:noWrap w:val="0"/>
            <w:vAlign w:val="center"/>
          </w:tcPr>
          <w:p w14:paraId="455607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环境差，严重污染</w:t>
            </w:r>
          </w:p>
        </w:tc>
      </w:tr>
      <w:tr w14:paraId="3ED1A222">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right w:val="single" w:color="auto" w:sz="4" w:space="0"/>
            </w:tcBorders>
            <w:noWrap w:val="0"/>
            <w:vAlign w:val="center"/>
          </w:tcPr>
          <w:p w14:paraId="0071B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2CAF2F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685" w:type="pct"/>
            <w:tcBorders>
              <w:top w:val="nil"/>
              <w:left w:val="nil"/>
              <w:bottom w:val="single" w:color="auto" w:sz="4" w:space="0"/>
              <w:right w:val="single" w:color="auto" w:sz="4" w:space="0"/>
            </w:tcBorders>
            <w:noWrap w:val="0"/>
            <w:vAlign w:val="center"/>
          </w:tcPr>
          <w:p w14:paraId="3A57AC6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面积适中，对土地利用有利</w:t>
            </w:r>
          </w:p>
        </w:tc>
        <w:tc>
          <w:tcPr>
            <w:tcW w:w="678" w:type="pct"/>
            <w:tcBorders>
              <w:top w:val="nil"/>
              <w:left w:val="nil"/>
              <w:bottom w:val="single" w:color="auto" w:sz="4" w:space="0"/>
              <w:right w:val="single" w:color="auto" w:sz="4" w:space="0"/>
            </w:tcBorders>
            <w:noWrap w:val="0"/>
            <w:vAlign w:val="center"/>
          </w:tcPr>
          <w:p w14:paraId="42DFA1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面积对土地利用较为有利</w:t>
            </w:r>
          </w:p>
        </w:tc>
        <w:tc>
          <w:tcPr>
            <w:tcW w:w="751" w:type="pct"/>
            <w:tcBorders>
              <w:top w:val="nil"/>
              <w:left w:val="nil"/>
              <w:bottom w:val="single" w:color="auto" w:sz="4" w:space="0"/>
              <w:right w:val="single" w:color="auto" w:sz="4" w:space="0"/>
            </w:tcBorders>
            <w:noWrap w:val="0"/>
            <w:vAlign w:val="center"/>
          </w:tcPr>
          <w:p w14:paraId="61319E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面积对土地利用无不良影响</w:t>
            </w:r>
          </w:p>
        </w:tc>
        <w:tc>
          <w:tcPr>
            <w:tcW w:w="802" w:type="pct"/>
            <w:tcBorders>
              <w:top w:val="nil"/>
              <w:left w:val="nil"/>
              <w:bottom w:val="single" w:color="auto" w:sz="4" w:space="0"/>
              <w:right w:val="single" w:color="auto" w:sz="4" w:space="0"/>
            </w:tcBorders>
            <w:noWrap w:val="0"/>
            <w:vAlign w:val="center"/>
          </w:tcPr>
          <w:p w14:paraId="551224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面积较小，对土地利用有一定影响</w:t>
            </w:r>
          </w:p>
        </w:tc>
        <w:tc>
          <w:tcPr>
            <w:tcW w:w="682" w:type="pct"/>
            <w:tcBorders>
              <w:top w:val="nil"/>
              <w:left w:val="nil"/>
              <w:bottom w:val="single" w:color="auto" w:sz="4" w:space="0"/>
              <w:right w:val="single" w:color="auto" w:sz="4" w:space="0"/>
            </w:tcBorders>
            <w:noWrap w:val="0"/>
            <w:vAlign w:val="center"/>
          </w:tcPr>
          <w:p w14:paraId="7FA0BA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面积过小，对土地利用产生不利影响</w:t>
            </w:r>
          </w:p>
        </w:tc>
      </w:tr>
      <w:tr w14:paraId="253A914A">
        <w:tblPrEx>
          <w:tblCellMar>
            <w:top w:w="0" w:type="dxa"/>
            <w:left w:w="108" w:type="dxa"/>
            <w:bottom w:w="0" w:type="dxa"/>
            <w:right w:w="108" w:type="dxa"/>
          </w:tblCellMar>
        </w:tblPrEx>
        <w:trPr>
          <w:trHeight w:val="255" w:hRule="atLeast"/>
          <w:jc w:val="center"/>
        </w:trPr>
        <w:tc>
          <w:tcPr>
            <w:tcW w:w="368" w:type="pct"/>
            <w:vMerge w:val="continue"/>
            <w:tcBorders>
              <w:left w:val="single" w:color="auto" w:sz="4" w:space="0"/>
              <w:bottom w:val="single" w:color="000000" w:sz="4" w:space="0"/>
              <w:right w:val="single" w:color="auto" w:sz="4" w:space="0"/>
            </w:tcBorders>
            <w:noWrap w:val="0"/>
            <w:vAlign w:val="center"/>
          </w:tcPr>
          <w:p w14:paraId="6E8625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1" w:type="pct"/>
            <w:tcBorders>
              <w:top w:val="nil"/>
              <w:left w:val="nil"/>
              <w:bottom w:val="single" w:color="auto" w:sz="4" w:space="0"/>
              <w:right w:val="single" w:color="auto" w:sz="4" w:space="0"/>
            </w:tcBorders>
            <w:noWrap w:val="0"/>
            <w:vAlign w:val="center"/>
          </w:tcPr>
          <w:p w14:paraId="20EB7D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685" w:type="pct"/>
            <w:tcBorders>
              <w:top w:val="nil"/>
              <w:left w:val="nil"/>
              <w:bottom w:val="single" w:color="auto" w:sz="4" w:space="0"/>
              <w:right w:val="single" w:color="auto" w:sz="4" w:space="0"/>
            </w:tcBorders>
            <w:noWrap w:val="0"/>
            <w:vAlign w:val="center"/>
          </w:tcPr>
          <w:p w14:paraId="7DE3DD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宗地形状规则，利于土地利用</w:t>
            </w:r>
          </w:p>
        </w:tc>
        <w:tc>
          <w:tcPr>
            <w:tcW w:w="678" w:type="pct"/>
            <w:tcBorders>
              <w:top w:val="nil"/>
              <w:left w:val="nil"/>
              <w:bottom w:val="single" w:color="auto" w:sz="4" w:space="0"/>
              <w:right w:val="single" w:color="auto" w:sz="4" w:space="0"/>
            </w:tcBorders>
            <w:noWrap w:val="0"/>
            <w:vAlign w:val="center"/>
          </w:tcPr>
          <w:p w14:paraId="3886CD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宗地形状较规则，较利于土地利用</w:t>
            </w:r>
          </w:p>
        </w:tc>
        <w:tc>
          <w:tcPr>
            <w:tcW w:w="751" w:type="pct"/>
            <w:tcBorders>
              <w:top w:val="nil"/>
              <w:left w:val="nil"/>
              <w:bottom w:val="single" w:color="auto" w:sz="4" w:space="0"/>
              <w:right w:val="single" w:color="auto" w:sz="4" w:space="0"/>
            </w:tcBorders>
            <w:noWrap w:val="0"/>
            <w:vAlign w:val="center"/>
          </w:tcPr>
          <w:p w14:paraId="7914FF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宗地形状一般，利于土地利用无影响</w:t>
            </w:r>
          </w:p>
        </w:tc>
        <w:tc>
          <w:tcPr>
            <w:tcW w:w="802" w:type="pct"/>
            <w:tcBorders>
              <w:top w:val="nil"/>
              <w:left w:val="nil"/>
              <w:bottom w:val="single" w:color="auto" w:sz="4" w:space="0"/>
              <w:right w:val="single" w:color="auto" w:sz="4" w:space="0"/>
            </w:tcBorders>
            <w:noWrap w:val="0"/>
            <w:vAlign w:val="center"/>
          </w:tcPr>
          <w:p w14:paraId="222850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宗地形状较不规则，对土地利用有一定影响</w:t>
            </w:r>
          </w:p>
        </w:tc>
        <w:tc>
          <w:tcPr>
            <w:tcW w:w="682" w:type="pct"/>
            <w:tcBorders>
              <w:top w:val="nil"/>
              <w:left w:val="nil"/>
              <w:bottom w:val="single" w:color="auto" w:sz="4" w:space="0"/>
              <w:right w:val="single" w:color="auto" w:sz="4" w:space="0"/>
            </w:tcBorders>
            <w:noWrap w:val="0"/>
            <w:vAlign w:val="center"/>
          </w:tcPr>
          <w:p w14:paraId="46C90E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宗地形状不规则，不利于土地利用</w:t>
            </w:r>
          </w:p>
        </w:tc>
      </w:tr>
    </w:tbl>
    <w:p w14:paraId="01208106">
      <w:pPr>
        <w:rPr>
          <w:rFonts w:hint="eastAsia" w:ascii="Times New Roman" w:hAnsi="Times New Roman" w:eastAsia="仿宋" w:cs="仿宋"/>
          <w:caps w:val="0"/>
          <w:smallCaps w:val="0"/>
          <w:color w:val="auto"/>
          <w:highlight w:val="none"/>
        </w:rPr>
      </w:pPr>
      <w:r>
        <w:rPr>
          <w:rFonts w:hint="eastAsia" w:ascii="Times New Roman" w:hAnsi="Times New Roman" w:eastAsia="仿宋" w:cs="仿宋"/>
          <w:caps w:val="0"/>
          <w:smallCaps w:val="0"/>
          <w:color w:val="auto"/>
          <w:highlight w:val="none"/>
        </w:rPr>
        <w:br w:type="page"/>
      </w:r>
    </w:p>
    <w:p w14:paraId="4CB7C6C2">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Times New Roman" w:hAnsi="Times New Roman" w:eastAsia="仿宋" w:cs="仿宋"/>
          <w:caps w:val="0"/>
          <w:smallCaps w:val="0"/>
          <w:color w:val="auto"/>
          <w:highlight w:val="none"/>
        </w:rPr>
      </w:pP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9"/>
        <w:gridCol w:w="1189"/>
        <w:gridCol w:w="1215"/>
        <w:gridCol w:w="1290"/>
        <w:gridCol w:w="1224"/>
        <w:gridCol w:w="1291"/>
        <w:gridCol w:w="1321"/>
      </w:tblGrid>
      <w:tr w14:paraId="2D2D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5000" w:type="pct"/>
            <w:gridSpan w:val="7"/>
            <w:tcBorders>
              <w:top w:val="nil"/>
              <w:left w:val="nil"/>
              <w:bottom w:val="nil"/>
              <w:right w:val="nil"/>
            </w:tcBorders>
            <w:shd w:val="clear" w:color="auto" w:fill="auto"/>
            <w:noWrap/>
            <w:vAlign w:val="center"/>
          </w:tcPr>
          <w:p w14:paraId="790D60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caps w:val="0"/>
                <w:smallCaps w:val="0"/>
                <w:color w:val="auto"/>
                <w:sz w:val="24"/>
                <w:szCs w:val="24"/>
                <w:highlight w:val="none"/>
                <w:lang w:eastAsia="zh-CN"/>
              </w:rPr>
            </w:pPr>
            <w:r>
              <w:rPr>
                <w:rFonts w:hint="eastAsia" w:ascii="Times New Roman" w:hAnsi="Times New Roman" w:eastAsia="仿宋" w:cs="仿宋"/>
                <w:b/>
                <w:caps w:val="0"/>
                <w:smallCaps w:val="0"/>
                <w:color w:val="auto"/>
                <w:sz w:val="24"/>
                <w:szCs w:val="24"/>
                <w:highlight w:val="none"/>
                <w:lang w:eastAsia="zh-CN"/>
              </w:rPr>
              <w:t>　　</w:t>
            </w: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2-16</w:t>
            </w:r>
            <w:r>
              <w:rPr>
                <w:rFonts w:hint="eastAsia" w:ascii="Times New Roman" w:hAnsi="Times New Roman" w:eastAsia="仿宋" w:cs="仿宋"/>
                <w:b/>
                <w:caps w:val="0"/>
                <w:smallCaps w:val="0"/>
                <w:color w:val="auto"/>
                <w:sz w:val="24"/>
                <w:szCs w:val="24"/>
                <w:highlight w:val="none"/>
                <w:lang w:val="en-US" w:eastAsia="zh-CN"/>
              </w:rPr>
              <w:t xml:space="preserve">  </w:t>
            </w:r>
            <w:r>
              <w:rPr>
                <w:rFonts w:hint="eastAsia" w:ascii="Times New Roman" w:hAnsi="Times New Roman" w:eastAsia="仿宋" w:cs="仿宋"/>
                <w:b/>
                <w:caps w:val="0"/>
                <w:smallCaps w:val="0"/>
                <w:color w:val="auto"/>
                <w:sz w:val="24"/>
                <w:szCs w:val="24"/>
                <w:highlight w:val="none"/>
              </w:rPr>
              <w:t>Ⅰ级</w:t>
            </w:r>
            <w:r>
              <w:rPr>
                <w:rFonts w:hint="eastAsia" w:ascii="Times New Roman" w:hAnsi="Times New Roman" w:eastAsia="仿宋" w:cs="仿宋"/>
                <w:b/>
                <w:caps w:val="0"/>
                <w:smallCaps w:val="0"/>
                <w:color w:val="auto"/>
                <w:sz w:val="24"/>
                <w:szCs w:val="24"/>
                <w:highlight w:val="none"/>
                <w:lang w:val="en-US" w:eastAsia="zh-CN"/>
              </w:rPr>
              <w:t>公共管理与公共服务用地</w:t>
            </w:r>
            <w:r>
              <w:rPr>
                <w:rFonts w:hint="eastAsia" w:ascii="Times New Roman" w:hAnsi="Times New Roman" w:eastAsia="仿宋" w:cs="仿宋"/>
                <w:b/>
                <w:caps w:val="0"/>
                <w:smallCaps w:val="0"/>
                <w:color w:val="auto"/>
                <w:sz w:val="24"/>
                <w:szCs w:val="24"/>
                <w:highlight w:val="none"/>
                <w:lang w:eastAsia="zh-CN"/>
              </w:rPr>
              <w:t>地价影响因素指标说明表</w:t>
            </w:r>
          </w:p>
        </w:tc>
      </w:tr>
      <w:tr w14:paraId="72928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99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C3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20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FD9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98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5A1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AD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6C15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D1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E5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49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0.0208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21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0.0104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FE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45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A7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-0.0239 </w:t>
            </w:r>
          </w:p>
        </w:tc>
      </w:tr>
      <w:tr w14:paraId="6EBC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5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7A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8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D8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7B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C4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-0.0092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6E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-0.0184 </w:t>
            </w:r>
          </w:p>
        </w:tc>
      </w:tr>
      <w:tr w14:paraId="2E6C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9B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8D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7C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99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D8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32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-0.0092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94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-0.0184 </w:t>
            </w:r>
          </w:p>
        </w:tc>
      </w:tr>
      <w:tr w14:paraId="72CC4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DD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CB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C7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0.0128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1F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D1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8D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31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-0.0147 </w:t>
            </w:r>
          </w:p>
        </w:tc>
      </w:tr>
      <w:tr w14:paraId="1D1ED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11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0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43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37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00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BB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29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0CDF1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B3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04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07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B7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0.0040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25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B2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-0.0046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64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-0.0092 </w:t>
            </w:r>
          </w:p>
        </w:tc>
      </w:tr>
      <w:tr w14:paraId="1914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68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A7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30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0.0096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2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0.0048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EA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91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-0.0055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71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-0.0110 </w:t>
            </w:r>
          </w:p>
        </w:tc>
      </w:tr>
      <w:tr w14:paraId="4C3B9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37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距银行距离</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35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CE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DC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C1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4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5B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7F611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34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距学校距离</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1F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41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B9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C3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91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8A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1D80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64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距医院距离</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C9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59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E5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B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38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6F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4A8C0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A7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环境条件</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BE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F9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B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B0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18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4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78C15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B4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DC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EA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1D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D8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D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73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r w14:paraId="43B5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63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74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39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0.0112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7D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4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04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-0.0064 </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F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-0.0129 </w:t>
            </w:r>
          </w:p>
        </w:tc>
      </w:tr>
    </w:tbl>
    <w:p w14:paraId="7950424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caps w:val="0"/>
          <w:smallCaps w:val="0"/>
          <w:color w:val="auto"/>
          <w:sz w:val="22"/>
          <w:szCs w:val="24"/>
          <w:highlight w:val="none"/>
        </w:rPr>
        <w:sectPr>
          <w:pgSz w:w="11905" w:h="16838"/>
          <w:pgMar w:top="1701" w:right="1701" w:bottom="1701" w:left="1701" w:header="1134" w:footer="1020" w:gutter="0"/>
          <w:pgBorders>
            <w:top w:val="none" w:sz="0" w:space="0"/>
            <w:left w:val="none" w:sz="0" w:space="0"/>
            <w:bottom w:val="none" w:sz="0" w:space="0"/>
            <w:right w:val="none" w:sz="0" w:space="0"/>
          </w:pgBorders>
          <w:pgNumType w:fmt="decimal"/>
          <w:cols w:space="0" w:num="1"/>
          <w:rtlGutter w:val="0"/>
          <w:docGrid w:linePitch="271" w:charSpace="0"/>
        </w:sectPr>
      </w:pPr>
    </w:p>
    <w:p w14:paraId="1AE9E48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caps w:val="0"/>
          <w:smallCaps w:val="0"/>
          <w:color w:val="auto"/>
          <w:kern w:val="2"/>
          <w:sz w:val="24"/>
          <w:szCs w:val="24"/>
          <w:highlight w:val="none"/>
          <w:lang w:eastAsia="zh-CN"/>
        </w:rPr>
      </w:pP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2-17</w:t>
      </w:r>
      <w:r>
        <w:rPr>
          <w:rFonts w:hint="eastAsia" w:ascii="Times New Roman" w:hAnsi="Times New Roman" w:eastAsia="仿宋" w:cs="仿宋"/>
          <w:b/>
          <w:caps w:val="0"/>
          <w:smallCaps w:val="0"/>
          <w:color w:val="auto"/>
          <w:sz w:val="24"/>
          <w:szCs w:val="24"/>
          <w:highlight w:val="none"/>
        </w:rPr>
        <w:t xml:space="preserve"> </w:t>
      </w:r>
      <w:r>
        <w:rPr>
          <w:rFonts w:hint="eastAsia" w:ascii="Times New Roman" w:hAnsi="Times New Roman" w:eastAsia="仿宋" w:cs="仿宋"/>
          <w:b/>
          <w:caps w:val="0"/>
          <w:smallCaps w:val="0"/>
          <w:color w:val="auto"/>
          <w:sz w:val="24"/>
          <w:szCs w:val="24"/>
          <w:highlight w:val="none"/>
          <w:lang w:val="en-US" w:eastAsia="zh-CN"/>
        </w:rPr>
        <w:t>Ⅱ</w:t>
      </w:r>
      <w:r>
        <w:rPr>
          <w:rFonts w:hint="eastAsia" w:ascii="Times New Roman" w:hAnsi="Times New Roman" w:eastAsia="仿宋" w:cs="仿宋"/>
          <w:b/>
          <w:caps w:val="0"/>
          <w:smallCaps w:val="0"/>
          <w:color w:val="auto"/>
          <w:sz w:val="24"/>
          <w:szCs w:val="24"/>
          <w:highlight w:val="none"/>
        </w:rPr>
        <w:t>级</w:t>
      </w:r>
      <w:r>
        <w:rPr>
          <w:rFonts w:hint="eastAsia" w:ascii="Times New Roman" w:hAnsi="Times New Roman" w:eastAsia="仿宋" w:cs="仿宋"/>
          <w:b/>
          <w:caps w:val="0"/>
          <w:smallCaps w:val="0"/>
          <w:color w:val="auto"/>
          <w:sz w:val="24"/>
          <w:szCs w:val="24"/>
          <w:highlight w:val="none"/>
          <w:lang w:val="en-US" w:eastAsia="zh-CN"/>
        </w:rPr>
        <w:t>公共管理与公共服务用地</w:t>
      </w:r>
      <w:r>
        <w:rPr>
          <w:rFonts w:hint="eastAsia" w:ascii="Times New Roman" w:hAnsi="Times New Roman" w:eastAsia="仿宋" w:cs="仿宋"/>
          <w:b/>
          <w:caps w:val="0"/>
          <w:smallCaps w:val="0"/>
          <w:color w:val="auto"/>
          <w:sz w:val="24"/>
          <w:szCs w:val="24"/>
          <w:highlight w:val="none"/>
          <w:lang w:eastAsia="zh-CN"/>
        </w:rPr>
        <w:t>地价影响因素指标说明表</w:t>
      </w:r>
    </w:p>
    <w:tbl>
      <w:tblPr>
        <w:tblStyle w:val="14"/>
        <w:tblW w:w="5000" w:type="pct"/>
        <w:jc w:val="center"/>
        <w:tblLayout w:type="autofit"/>
        <w:tblCellMar>
          <w:top w:w="0" w:type="dxa"/>
          <w:left w:w="108" w:type="dxa"/>
          <w:bottom w:w="0" w:type="dxa"/>
          <w:right w:w="108" w:type="dxa"/>
        </w:tblCellMar>
      </w:tblPr>
      <w:tblGrid>
        <w:gridCol w:w="478"/>
        <w:gridCol w:w="1640"/>
        <w:gridCol w:w="1037"/>
        <w:gridCol w:w="1441"/>
        <w:gridCol w:w="1546"/>
        <w:gridCol w:w="1546"/>
        <w:gridCol w:w="1031"/>
      </w:tblGrid>
      <w:tr w14:paraId="06E9D153">
        <w:tblPrEx>
          <w:tblCellMar>
            <w:top w:w="0" w:type="dxa"/>
            <w:left w:w="108" w:type="dxa"/>
            <w:bottom w:w="0" w:type="dxa"/>
            <w:right w:w="108" w:type="dxa"/>
          </w:tblCellMar>
        </w:tblPrEx>
        <w:trPr>
          <w:trHeight w:val="255" w:hRule="atLeast"/>
          <w:jc w:val="center"/>
        </w:trPr>
        <w:tc>
          <w:tcPr>
            <w:tcW w:w="2440" w:type="dxa"/>
            <w:gridSpan w:val="2"/>
            <w:tcBorders>
              <w:top w:val="single" w:color="auto" w:sz="4" w:space="0"/>
              <w:left w:val="single" w:color="auto" w:sz="4" w:space="0"/>
              <w:bottom w:val="single" w:color="auto" w:sz="4" w:space="0"/>
              <w:right w:val="single" w:color="auto" w:sz="4" w:space="0"/>
            </w:tcBorders>
            <w:noWrap w:val="0"/>
            <w:vAlign w:val="center"/>
          </w:tcPr>
          <w:p w14:paraId="51CFF6A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197" w:type="dxa"/>
            <w:tcBorders>
              <w:top w:val="single" w:color="auto" w:sz="4" w:space="0"/>
              <w:left w:val="nil"/>
              <w:bottom w:val="single" w:color="auto" w:sz="4" w:space="0"/>
              <w:right w:val="single" w:color="auto" w:sz="4" w:space="0"/>
            </w:tcBorders>
            <w:noWrap w:val="0"/>
            <w:vAlign w:val="center"/>
          </w:tcPr>
          <w:p w14:paraId="6D5C3F1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183" w:type="dxa"/>
            <w:tcBorders>
              <w:top w:val="single" w:color="auto" w:sz="4" w:space="0"/>
              <w:left w:val="nil"/>
              <w:bottom w:val="single" w:color="auto" w:sz="4" w:space="0"/>
              <w:right w:val="single" w:color="auto" w:sz="4" w:space="0"/>
            </w:tcBorders>
            <w:noWrap w:val="0"/>
            <w:vAlign w:val="center"/>
          </w:tcPr>
          <w:p w14:paraId="2D59D2E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312" w:type="dxa"/>
            <w:tcBorders>
              <w:top w:val="single" w:color="auto" w:sz="4" w:space="0"/>
              <w:left w:val="nil"/>
              <w:bottom w:val="single" w:color="auto" w:sz="4" w:space="0"/>
              <w:right w:val="single" w:color="auto" w:sz="4" w:space="0"/>
            </w:tcBorders>
            <w:noWrap w:val="0"/>
            <w:vAlign w:val="center"/>
          </w:tcPr>
          <w:p w14:paraId="40D7376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399" w:type="dxa"/>
            <w:tcBorders>
              <w:top w:val="single" w:color="auto" w:sz="4" w:space="0"/>
              <w:left w:val="nil"/>
              <w:bottom w:val="single" w:color="auto" w:sz="4" w:space="0"/>
              <w:right w:val="single" w:color="auto" w:sz="4" w:space="0"/>
            </w:tcBorders>
            <w:noWrap w:val="0"/>
            <w:vAlign w:val="center"/>
          </w:tcPr>
          <w:p w14:paraId="717E2AF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190" w:type="dxa"/>
            <w:tcBorders>
              <w:top w:val="single" w:color="auto" w:sz="4" w:space="0"/>
              <w:left w:val="nil"/>
              <w:bottom w:val="single" w:color="auto" w:sz="4" w:space="0"/>
              <w:right w:val="single" w:color="auto" w:sz="4" w:space="0"/>
            </w:tcBorders>
            <w:noWrap w:val="0"/>
            <w:vAlign w:val="center"/>
          </w:tcPr>
          <w:p w14:paraId="7AF35BF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6A509F0D">
        <w:tblPrEx>
          <w:tblCellMar>
            <w:top w:w="0" w:type="dxa"/>
            <w:left w:w="108" w:type="dxa"/>
            <w:bottom w:w="0" w:type="dxa"/>
            <w:right w:w="108" w:type="dxa"/>
          </w:tblCellMar>
        </w:tblPrEx>
        <w:trPr>
          <w:trHeight w:val="255" w:hRule="atLeast"/>
          <w:jc w:val="center"/>
        </w:trPr>
        <w:tc>
          <w:tcPr>
            <w:tcW w:w="366" w:type="pct"/>
            <w:vMerge w:val="restart"/>
            <w:tcBorders>
              <w:top w:val="nil"/>
              <w:left w:val="single" w:color="auto" w:sz="4" w:space="0"/>
              <w:right w:val="single" w:color="auto" w:sz="4" w:space="0"/>
            </w:tcBorders>
            <w:noWrap w:val="0"/>
            <w:vAlign w:val="center"/>
          </w:tcPr>
          <w:p w14:paraId="0F88265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4FD0245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1032" w:type="pct"/>
            <w:tcBorders>
              <w:top w:val="nil"/>
              <w:left w:val="nil"/>
              <w:bottom w:val="single" w:color="auto" w:sz="4" w:space="0"/>
              <w:right w:val="single" w:color="auto" w:sz="4" w:space="0"/>
            </w:tcBorders>
            <w:noWrap w:val="0"/>
            <w:vAlign w:val="center"/>
          </w:tcPr>
          <w:p w14:paraId="3C9438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eastAsia="zh-CN"/>
              </w:rPr>
              <w:t>商业服务业</w:t>
            </w:r>
            <w:r>
              <w:rPr>
                <w:rFonts w:hint="eastAsia" w:ascii="Times New Roman" w:hAnsi="Times New Roman" w:eastAsia="仿宋" w:cs="仿宋"/>
                <w:b w:val="0"/>
                <w:bCs w:val="0"/>
                <w:caps w:val="0"/>
                <w:smallCaps w:val="0"/>
                <w:color w:val="auto"/>
                <w:sz w:val="21"/>
                <w:szCs w:val="21"/>
                <w:highlight w:val="none"/>
              </w:rPr>
              <w:t>中心距离（米）</w:t>
            </w:r>
          </w:p>
        </w:tc>
        <w:tc>
          <w:tcPr>
            <w:tcW w:w="686" w:type="pct"/>
            <w:tcBorders>
              <w:top w:val="nil"/>
              <w:left w:val="nil"/>
              <w:bottom w:val="single" w:color="auto" w:sz="4" w:space="0"/>
              <w:right w:val="single" w:color="auto" w:sz="4" w:space="0"/>
            </w:tcBorders>
            <w:noWrap w:val="0"/>
            <w:vAlign w:val="center"/>
          </w:tcPr>
          <w:p w14:paraId="1AD3D0B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w:t>
            </w:r>
            <w:r>
              <w:rPr>
                <w:rFonts w:hint="eastAsia" w:ascii="Times New Roman" w:hAnsi="Times New Roman" w:eastAsia="仿宋" w:cs="仿宋"/>
                <w:b w:val="0"/>
                <w:bCs w:val="0"/>
                <w:caps w:val="0"/>
                <w:smallCaps w:val="0"/>
                <w:color w:val="auto"/>
                <w:sz w:val="21"/>
                <w:szCs w:val="21"/>
                <w:highlight w:val="none"/>
                <w:lang w:val="en-US" w:eastAsia="zh-CN"/>
              </w:rPr>
              <w:t>35</w:t>
            </w:r>
            <w:r>
              <w:rPr>
                <w:rFonts w:hint="eastAsia" w:ascii="Times New Roman" w:hAnsi="Times New Roman" w:eastAsia="仿宋" w:cs="仿宋"/>
                <w:b w:val="0"/>
                <w:bCs w:val="0"/>
                <w:caps w:val="0"/>
                <w:smallCaps w:val="0"/>
                <w:color w:val="auto"/>
                <w:sz w:val="21"/>
                <w:szCs w:val="21"/>
                <w:highlight w:val="none"/>
              </w:rPr>
              <w:t>0</w:t>
            </w:r>
          </w:p>
        </w:tc>
        <w:tc>
          <w:tcPr>
            <w:tcW w:w="678" w:type="pct"/>
            <w:tcBorders>
              <w:top w:val="nil"/>
              <w:left w:val="nil"/>
              <w:bottom w:val="single" w:color="auto" w:sz="4" w:space="0"/>
              <w:right w:val="single" w:color="auto" w:sz="4" w:space="0"/>
            </w:tcBorders>
            <w:noWrap w:val="0"/>
            <w:vAlign w:val="center"/>
          </w:tcPr>
          <w:p w14:paraId="54C26F4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35</w:t>
            </w:r>
            <w:r>
              <w:rPr>
                <w:rFonts w:hint="eastAsia" w:ascii="Times New Roman" w:hAnsi="Times New Roman" w:eastAsia="仿宋" w:cs="仿宋"/>
                <w:b w:val="0"/>
                <w:bCs w:val="0"/>
                <w:caps w:val="0"/>
                <w:smallCaps w:val="0"/>
                <w:color w:val="auto"/>
                <w:sz w:val="21"/>
                <w:szCs w:val="21"/>
                <w:highlight w:val="none"/>
              </w:rPr>
              <w:t>0</w:t>
            </w:r>
            <w:r>
              <w:rPr>
                <w:rFonts w:hint="eastAsia" w:ascii="Times New Roman" w:hAnsi="Times New Roman" w:eastAsia="仿宋" w:cs="仿宋"/>
                <w:b w:val="0"/>
                <w:bCs w:val="0"/>
                <w:caps w:val="0"/>
                <w:smallCaps w:val="0"/>
                <w:color w:val="auto"/>
                <w:sz w:val="21"/>
                <w:szCs w:val="21"/>
                <w:highlight w:val="none"/>
                <w:lang w:val="en-US" w:eastAsia="zh-CN"/>
              </w:rPr>
              <w:t>-650</w:t>
            </w:r>
            <w:r>
              <w:rPr>
                <w:rFonts w:hint="eastAsia" w:ascii="Times New Roman" w:hAnsi="Times New Roman" w:eastAsia="仿宋" w:cs="仿宋"/>
                <w:b w:val="0"/>
                <w:bCs w:val="0"/>
                <w:caps w:val="0"/>
                <w:smallCaps w:val="0"/>
                <w:color w:val="auto"/>
                <w:sz w:val="21"/>
                <w:szCs w:val="21"/>
                <w:highlight w:val="none"/>
              </w:rPr>
              <w:t>]</w:t>
            </w:r>
          </w:p>
        </w:tc>
        <w:tc>
          <w:tcPr>
            <w:tcW w:w="752" w:type="pct"/>
            <w:tcBorders>
              <w:top w:val="nil"/>
              <w:left w:val="nil"/>
              <w:bottom w:val="single" w:color="auto" w:sz="4" w:space="0"/>
              <w:right w:val="single" w:color="auto" w:sz="4" w:space="0"/>
            </w:tcBorders>
            <w:noWrap w:val="0"/>
            <w:vAlign w:val="center"/>
          </w:tcPr>
          <w:p w14:paraId="2EC0C22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lang w:val="en-US" w:eastAsia="zh-CN"/>
              </w:rPr>
              <w:t>650-950</w:t>
            </w:r>
            <w:r>
              <w:rPr>
                <w:rFonts w:hint="eastAsia" w:ascii="Times New Roman" w:hAnsi="Times New Roman" w:eastAsia="仿宋" w:cs="仿宋"/>
                <w:b w:val="0"/>
                <w:bCs w:val="0"/>
                <w:caps w:val="0"/>
                <w:smallCaps w:val="0"/>
                <w:color w:val="auto"/>
                <w:sz w:val="21"/>
                <w:szCs w:val="21"/>
                <w:highlight w:val="none"/>
              </w:rPr>
              <w:t>]</w:t>
            </w:r>
          </w:p>
        </w:tc>
        <w:tc>
          <w:tcPr>
            <w:tcW w:w="802" w:type="pct"/>
            <w:tcBorders>
              <w:top w:val="nil"/>
              <w:left w:val="nil"/>
              <w:bottom w:val="single" w:color="auto" w:sz="4" w:space="0"/>
              <w:right w:val="single" w:color="auto" w:sz="4" w:space="0"/>
            </w:tcBorders>
            <w:noWrap w:val="0"/>
            <w:vAlign w:val="center"/>
          </w:tcPr>
          <w:p w14:paraId="0F2F9F2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（950-1100]</w:t>
            </w:r>
          </w:p>
        </w:tc>
        <w:tc>
          <w:tcPr>
            <w:tcW w:w="682" w:type="pct"/>
            <w:tcBorders>
              <w:top w:val="nil"/>
              <w:left w:val="nil"/>
              <w:bottom w:val="single" w:color="auto" w:sz="4" w:space="0"/>
              <w:right w:val="single" w:color="auto" w:sz="4" w:space="0"/>
            </w:tcBorders>
            <w:noWrap w:val="0"/>
            <w:vAlign w:val="center"/>
          </w:tcPr>
          <w:p w14:paraId="1487925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w:t>
            </w:r>
            <w:r>
              <w:rPr>
                <w:rFonts w:hint="eastAsia" w:ascii="Times New Roman" w:hAnsi="Times New Roman" w:eastAsia="仿宋" w:cs="仿宋"/>
                <w:b w:val="0"/>
                <w:bCs w:val="0"/>
                <w:caps w:val="0"/>
                <w:smallCaps w:val="0"/>
                <w:color w:val="auto"/>
                <w:sz w:val="21"/>
                <w:szCs w:val="21"/>
                <w:highlight w:val="none"/>
                <w:lang w:val="en-US" w:eastAsia="zh-CN"/>
              </w:rPr>
              <w:t>11</w:t>
            </w:r>
            <w:r>
              <w:rPr>
                <w:rFonts w:hint="eastAsia" w:ascii="Times New Roman" w:hAnsi="Times New Roman" w:eastAsia="仿宋" w:cs="仿宋"/>
                <w:b w:val="0"/>
                <w:bCs w:val="0"/>
                <w:caps w:val="0"/>
                <w:smallCaps w:val="0"/>
                <w:color w:val="auto"/>
                <w:sz w:val="21"/>
                <w:szCs w:val="21"/>
                <w:highlight w:val="none"/>
              </w:rPr>
              <w:t>00</w:t>
            </w:r>
          </w:p>
        </w:tc>
      </w:tr>
      <w:tr w14:paraId="0FA5C974">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1E90D29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6137F4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道路类型</w:t>
            </w:r>
          </w:p>
        </w:tc>
        <w:tc>
          <w:tcPr>
            <w:tcW w:w="686" w:type="pct"/>
            <w:tcBorders>
              <w:top w:val="nil"/>
              <w:left w:val="nil"/>
              <w:bottom w:val="single" w:color="auto" w:sz="4" w:space="0"/>
              <w:right w:val="single" w:color="auto" w:sz="4" w:space="0"/>
            </w:tcBorders>
            <w:noWrap w:val="0"/>
            <w:vAlign w:val="center"/>
          </w:tcPr>
          <w:p w14:paraId="097F79C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混合型主干道</w:t>
            </w:r>
          </w:p>
        </w:tc>
        <w:tc>
          <w:tcPr>
            <w:tcW w:w="678" w:type="pct"/>
            <w:tcBorders>
              <w:top w:val="nil"/>
              <w:left w:val="nil"/>
              <w:bottom w:val="single" w:color="auto" w:sz="4" w:space="0"/>
              <w:right w:val="single" w:color="auto" w:sz="4" w:space="0"/>
            </w:tcBorders>
            <w:noWrap w:val="0"/>
            <w:vAlign w:val="center"/>
          </w:tcPr>
          <w:p w14:paraId="6ED1D09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生活型主干道</w:t>
            </w:r>
          </w:p>
        </w:tc>
        <w:tc>
          <w:tcPr>
            <w:tcW w:w="752" w:type="pct"/>
            <w:tcBorders>
              <w:top w:val="nil"/>
              <w:left w:val="nil"/>
              <w:bottom w:val="single" w:color="auto" w:sz="4" w:space="0"/>
              <w:right w:val="single" w:color="auto" w:sz="4" w:space="0"/>
            </w:tcBorders>
            <w:noWrap w:val="0"/>
            <w:vAlign w:val="center"/>
          </w:tcPr>
          <w:p w14:paraId="47CA695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生活型次干道或交通型主干道</w:t>
            </w:r>
          </w:p>
        </w:tc>
        <w:tc>
          <w:tcPr>
            <w:tcW w:w="802" w:type="pct"/>
            <w:tcBorders>
              <w:top w:val="nil"/>
              <w:left w:val="nil"/>
              <w:bottom w:val="single" w:color="auto" w:sz="4" w:space="0"/>
              <w:right w:val="single" w:color="auto" w:sz="4" w:space="0"/>
            </w:tcBorders>
            <w:noWrap w:val="0"/>
            <w:vAlign w:val="center"/>
          </w:tcPr>
          <w:p w14:paraId="664D2C1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82" w:type="pct"/>
            <w:tcBorders>
              <w:top w:val="nil"/>
              <w:left w:val="nil"/>
              <w:bottom w:val="single" w:color="auto" w:sz="4" w:space="0"/>
              <w:right w:val="single" w:color="auto" w:sz="4" w:space="0"/>
            </w:tcBorders>
            <w:noWrap w:val="0"/>
            <w:vAlign w:val="center"/>
          </w:tcPr>
          <w:p w14:paraId="6A1DD0D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16FEC436">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6187CFF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291786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686" w:type="pct"/>
            <w:tcBorders>
              <w:top w:val="nil"/>
              <w:left w:val="nil"/>
              <w:bottom w:val="single" w:color="auto" w:sz="4" w:space="0"/>
              <w:right w:val="single" w:color="auto" w:sz="4" w:space="0"/>
            </w:tcBorders>
            <w:noWrap w:val="0"/>
            <w:vAlign w:val="center"/>
          </w:tcPr>
          <w:p w14:paraId="6C30AE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678" w:type="pct"/>
            <w:tcBorders>
              <w:top w:val="nil"/>
              <w:left w:val="nil"/>
              <w:bottom w:val="single" w:color="auto" w:sz="4" w:space="0"/>
              <w:right w:val="single" w:color="auto" w:sz="4" w:space="0"/>
            </w:tcBorders>
            <w:noWrap w:val="0"/>
            <w:vAlign w:val="center"/>
          </w:tcPr>
          <w:p w14:paraId="21E6D60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752" w:type="pct"/>
            <w:tcBorders>
              <w:top w:val="nil"/>
              <w:left w:val="nil"/>
              <w:bottom w:val="single" w:color="auto" w:sz="4" w:space="0"/>
              <w:right w:val="single" w:color="auto" w:sz="4" w:space="0"/>
            </w:tcBorders>
            <w:noWrap w:val="0"/>
            <w:vAlign w:val="center"/>
          </w:tcPr>
          <w:p w14:paraId="282DA7E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802" w:type="pct"/>
            <w:tcBorders>
              <w:top w:val="nil"/>
              <w:left w:val="nil"/>
              <w:bottom w:val="single" w:color="auto" w:sz="4" w:space="0"/>
              <w:right w:val="single" w:color="auto" w:sz="4" w:space="0"/>
            </w:tcBorders>
            <w:noWrap w:val="0"/>
            <w:vAlign w:val="center"/>
          </w:tcPr>
          <w:p w14:paraId="1F1F23D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682" w:type="pct"/>
            <w:tcBorders>
              <w:top w:val="nil"/>
              <w:left w:val="nil"/>
              <w:bottom w:val="single" w:color="auto" w:sz="4" w:space="0"/>
              <w:right w:val="single" w:color="auto" w:sz="4" w:space="0"/>
            </w:tcBorders>
            <w:noWrap w:val="0"/>
            <w:vAlign w:val="center"/>
          </w:tcPr>
          <w:p w14:paraId="69AC647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7C513329">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51C6367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761832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686" w:type="pct"/>
            <w:tcBorders>
              <w:top w:val="nil"/>
              <w:left w:val="nil"/>
              <w:bottom w:val="single" w:color="auto" w:sz="4" w:space="0"/>
              <w:right w:val="single" w:color="auto" w:sz="4" w:space="0"/>
            </w:tcBorders>
            <w:noWrap w:val="0"/>
            <w:vAlign w:val="center"/>
          </w:tcPr>
          <w:p w14:paraId="5CF00F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678" w:type="pct"/>
            <w:tcBorders>
              <w:top w:val="nil"/>
              <w:left w:val="nil"/>
              <w:bottom w:val="single" w:color="auto" w:sz="4" w:space="0"/>
              <w:right w:val="single" w:color="auto" w:sz="4" w:space="0"/>
            </w:tcBorders>
            <w:noWrap w:val="0"/>
            <w:vAlign w:val="center"/>
          </w:tcPr>
          <w:p w14:paraId="007027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752" w:type="pct"/>
            <w:tcBorders>
              <w:top w:val="nil"/>
              <w:left w:val="nil"/>
              <w:bottom w:val="single" w:color="auto" w:sz="4" w:space="0"/>
              <w:right w:val="single" w:color="auto" w:sz="4" w:space="0"/>
            </w:tcBorders>
            <w:noWrap w:val="0"/>
            <w:vAlign w:val="center"/>
          </w:tcPr>
          <w:p w14:paraId="7559DA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802" w:type="pct"/>
            <w:tcBorders>
              <w:top w:val="nil"/>
              <w:left w:val="nil"/>
              <w:bottom w:val="single" w:color="auto" w:sz="4" w:space="0"/>
              <w:right w:val="single" w:color="auto" w:sz="4" w:space="0"/>
            </w:tcBorders>
            <w:noWrap w:val="0"/>
            <w:vAlign w:val="center"/>
          </w:tcPr>
          <w:p w14:paraId="40E28B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682" w:type="pct"/>
            <w:tcBorders>
              <w:top w:val="nil"/>
              <w:left w:val="nil"/>
              <w:bottom w:val="single" w:color="auto" w:sz="4" w:space="0"/>
              <w:right w:val="single" w:color="auto" w:sz="4" w:space="0"/>
            </w:tcBorders>
            <w:noWrap w:val="0"/>
            <w:vAlign w:val="center"/>
          </w:tcPr>
          <w:p w14:paraId="1F0892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204C41C4">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01BD804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0A7BF1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排水</w:t>
            </w:r>
          </w:p>
        </w:tc>
        <w:tc>
          <w:tcPr>
            <w:tcW w:w="686" w:type="pct"/>
            <w:tcBorders>
              <w:top w:val="nil"/>
              <w:left w:val="nil"/>
              <w:bottom w:val="single" w:color="auto" w:sz="4" w:space="0"/>
              <w:right w:val="single" w:color="auto" w:sz="4" w:space="0"/>
            </w:tcBorders>
            <w:noWrap w:val="0"/>
            <w:vAlign w:val="center"/>
          </w:tcPr>
          <w:p w14:paraId="073314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678" w:type="pct"/>
            <w:tcBorders>
              <w:top w:val="nil"/>
              <w:left w:val="nil"/>
              <w:bottom w:val="single" w:color="auto" w:sz="4" w:space="0"/>
              <w:right w:val="single" w:color="auto" w:sz="4" w:space="0"/>
            </w:tcBorders>
            <w:noWrap w:val="0"/>
            <w:vAlign w:val="center"/>
          </w:tcPr>
          <w:p w14:paraId="2865FF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752" w:type="pct"/>
            <w:tcBorders>
              <w:top w:val="nil"/>
              <w:left w:val="nil"/>
              <w:bottom w:val="single" w:color="auto" w:sz="4" w:space="0"/>
              <w:right w:val="single" w:color="auto" w:sz="4" w:space="0"/>
            </w:tcBorders>
            <w:noWrap w:val="0"/>
            <w:vAlign w:val="center"/>
          </w:tcPr>
          <w:p w14:paraId="6AF2931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只有污排</w:t>
            </w:r>
          </w:p>
        </w:tc>
        <w:tc>
          <w:tcPr>
            <w:tcW w:w="802" w:type="pct"/>
            <w:tcBorders>
              <w:top w:val="nil"/>
              <w:left w:val="nil"/>
              <w:bottom w:val="single" w:color="auto" w:sz="4" w:space="0"/>
              <w:right w:val="single" w:color="auto" w:sz="4" w:space="0"/>
            </w:tcBorders>
            <w:noWrap w:val="0"/>
            <w:vAlign w:val="center"/>
          </w:tcPr>
          <w:p w14:paraId="358DA4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只有雨排</w:t>
            </w:r>
          </w:p>
        </w:tc>
        <w:tc>
          <w:tcPr>
            <w:tcW w:w="682" w:type="pct"/>
            <w:tcBorders>
              <w:top w:val="nil"/>
              <w:left w:val="nil"/>
              <w:bottom w:val="single" w:color="auto" w:sz="4" w:space="0"/>
              <w:right w:val="single" w:color="auto" w:sz="4" w:space="0"/>
            </w:tcBorders>
            <w:noWrap w:val="0"/>
            <w:vAlign w:val="center"/>
          </w:tcPr>
          <w:p w14:paraId="23AEC4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无排水系统</w:t>
            </w:r>
          </w:p>
        </w:tc>
      </w:tr>
      <w:tr w14:paraId="5788D838">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6772BCF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0B7E2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686" w:type="pct"/>
            <w:tcBorders>
              <w:top w:val="nil"/>
              <w:left w:val="nil"/>
              <w:bottom w:val="single" w:color="auto" w:sz="4" w:space="0"/>
              <w:right w:val="single" w:color="auto" w:sz="4" w:space="0"/>
            </w:tcBorders>
            <w:shd w:val="clear" w:color="auto" w:fill="auto"/>
            <w:noWrap w:val="0"/>
            <w:vAlign w:val="center"/>
          </w:tcPr>
          <w:p w14:paraId="27457E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位于主管道两侧</w:t>
            </w:r>
          </w:p>
        </w:tc>
        <w:tc>
          <w:tcPr>
            <w:tcW w:w="678" w:type="pct"/>
            <w:tcBorders>
              <w:top w:val="nil"/>
              <w:left w:val="nil"/>
              <w:bottom w:val="single" w:color="auto" w:sz="4" w:space="0"/>
              <w:right w:val="single" w:color="auto" w:sz="4" w:space="0"/>
            </w:tcBorders>
            <w:shd w:val="clear" w:color="auto" w:fill="auto"/>
            <w:noWrap w:val="0"/>
            <w:vAlign w:val="center"/>
          </w:tcPr>
          <w:p w14:paraId="4B9EC07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距主管道100米以内</w:t>
            </w:r>
          </w:p>
        </w:tc>
        <w:tc>
          <w:tcPr>
            <w:tcW w:w="752" w:type="pct"/>
            <w:tcBorders>
              <w:top w:val="nil"/>
              <w:left w:val="nil"/>
              <w:bottom w:val="single" w:color="auto" w:sz="4" w:space="0"/>
              <w:right w:val="single" w:color="auto" w:sz="4" w:space="0"/>
            </w:tcBorders>
            <w:shd w:val="clear" w:color="auto" w:fill="auto"/>
            <w:noWrap w:val="0"/>
            <w:vAlign w:val="center"/>
          </w:tcPr>
          <w:p w14:paraId="1A0FEDD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距主管道200米以内</w:t>
            </w:r>
          </w:p>
        </w:tc>
        <w:tc>
          <w:tcPr>
            <w:tcW w:w="802" w:type="pct"/>
            <w:tcBorders>
              <w:top w:val="nil"/>
              <w:left w:val="nil"/>
              <w:bottom w:val="single" w:color="auto" w:sz="4" w:space="0"/>
              <w:right w:val="single" w:color="auto" w:sz="4" w:space="0"/>
            </w:tcBorders>
            <w:shd w:val="clear" w:color="auto" w:fill="auto"/>
            <w:noWrap w:val="0"/>
            <w:vAlign w:val="center"/>
          </w:tcPr>
          <w:p w14:paraId="2E0101D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位于支线管道两侧</w:t>
            </w:r>
          </w:p>
        </w:tc>
        <w:tc>
          <w:tcPr>
            <w:tcW w:w="682" w:type="pct"/>
            <w:tcBorders>
              <w:top w:val="nil"/>
              <w:left w:val="nil"/>
              <w:bottom w:val="single" w:color="auto" w:sz="4" w:space="0"/>
              <w:right w:val="single" w:color="auto" w:sz="4" w:space="0"/>
            </w:tcBorders>
            <w:shd w:val="clear" w:color="auto" w:fill="auto"/>
            <w:noWrap w:val="0"/>
            <w:vAlign w:val="center"/>
          </w:tcPr>
          <w:p w14:paraId="057FB1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default" w:ascii="Times New Roman" w:hAnsi="Times New Roman" w:eastAsia="仿宋" w:cs="仿宋"/>
                <w:b w:val="0"/>
                <w:bCs w:val="0"/>
                <w:caps w:val="0"/>
                <w:smallCaps w:val="0"/>
                <w:color w:val="auto"/>
                <w:sz w:val="21"/>
                <w:szCs w:val="21"/>
                <w:highlight w:val="none"/>
                <w:lang w:val="en-US" w:eastAsia="zh-CN"/>
              </w:rPr>
              <w:t>无集中供热</w:t>
            </w:r>
          </w:p>
        </w:tc>
      </w:tr>
      <w:tr w14:paraId="5BE79645">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2229951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0151F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人口密度（人/平方千米）</w:t>
            </w:r>
          </w:p>
        </w:tc>
        <w:tc>
          <w:tcPr>
            <w:tcW w:w="1197" w:type="dxa"/>
            <w:tcBorders>
              <w:top w:val="nil"/>
              <w:left w:val="nil"/>
              <w:bottom w:val="single" w:color="auto" w:sz="4" w:space="0"/>
              <w:right w:val="single" w:color="auto" w:sz="4" w:space="0"/>
            </w:tcBorders>
            <w:noWrap w:val="0"/>
            <w:vAlign w:val="center"/>
          </w:tcPr>
          <w:p w14:paraId="15B985C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500</w:t>
            </w:r>
          </w:p>
        </w:tc>
        <w:tc>
          <w:tcPr>
            <w:tcW w:w="1183" w:type="dxa"/>
            <w:tcBorders>
              <w:top w:val="nil"/>
              <w:left w:val="nil"/>
              <w:bottom w:val="single" w:color="auto" w:sz="4" w:space="0"/>
              <w:right w:val="single" w:color="auto" w:sz="4" w:space="0"/>
            </w:tcBorders>
            <w:noWrap w:val="0"/>
            <w:vAlign w:val="center"/>
          </w:tcPr>
          <w:p w14:paraId="5ECC2A5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400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500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312" w:type="dxa"/>
            <w:tcBorders>
              <w:top w:val="nil"/>
              <w:left w:val="nil"/>
              <w:bottom w:val="single" w:color="auto" w:sz="4" w:space="0"/>
              <w:right w:val="single" w:color="auto" w:sz="4" w:space="0"/>
            </w:tcBorders>
            <w:noWrap w:val="0"/>
            <w:vAlign w:val="center"/>
          </w:tcPr>
          <w:p w14:paraId="7B66531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300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400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399" w:type="dxa"/>
            <w:tcBorders>
              <w:top w:val="nil"/>
              <w:left w:val="nil"/>
              <w:bottom w:val="single" w:color="auto" w:sz="4" w:space="0"/>
              <w:right w:val="single" w:color="auto" w:sz="4" w:space="0"/>
            </w:tcBorders>
            <w:noWrap w:val="0"/>
            <w:vAlign w:val="center"/>
          </w:tcPr>
          <w:p w14:paraId="69FE94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200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300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190" w:type="dxa"/>
            <w:tcBorders>
              <w:top w:val="nil"/>
              <w:left w:val="nil"/>
              <w:bottom w:val="single" w:color="auto" w:sz="4" w:space="0"/>
              <w:right w:val="single" w:color="auto" w:sz="4" w:space="0"/>
            </w:tcBorders>
            <w:noWrap w:val="0"/>
            <w:vAlign w:val="center"/>
          </w:tcPr>
          <w:p w14:paraId="61066B6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200</w:t>
            </w:r>
          </w:p>
        </w:tc>
      </w:tr>
      <w:tr w14:paraId="32AF3FC5">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73CD8BB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1032" w:type="pct"/>
            <w:tcBorders>
              <w:top w:val="nil"/>
              <w:left w:val="nil"/>
              <w:bottom w:val="single" w:color="auto" w:sz="4" w:space="0"/>
              <w:right w:val="single" w:color="auto" w:sz="4" w:space="0"/>
            </w:tcBorders>
            <w:noWrap w:val="0"/>
            <w:vAlign w:val="center"/>
          </w:tcPr>
          <w:p w14:paraId="5361A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银行</w:t>
            </w:r>
            <w:r>
              <w:rPr>
                <w:rFonts w:hint="eastAsia" w:ascii="Times New Roman" w:hAnsi="Times New Roman" w:eastAsia="仿宋" w:cs="仿宋"/>
                <w:b w:val="0"/>
                <w:bCs w:val="0"/>
                <w:caps w:val="0"/>
                <w:smallCaps w:val="0"/>
                <w:color w:val="auto"/>
                <w:sz w:val="21"/>
                <w:szCs w:val="21"/>
                <w:highlight w:val="none"/>
              </w:rPr>
              <w:t>距离（米）</w:t>
            </w:r>
          </w:p>
        </w:tc>
        <w:tc>
          <w:tcPr>
            <w:tcW w:w="686" w:type="pct"/>
            <w:tcBorders>
              <w:top w:val="nil"/>
              <w:left w:val="nil"/>
              <w:bottom w:val="single" w:color="auto" w:sz="4" w:space="0"/>
              <w:right w:val="single" w:color="auto" w:sz="4" w:space="0"/>
            </w:tcBorders>
            <w:noWrap w:val="0"/>
            <w:vAlign w:val="center"/>
          </w:tcPr>
          <w:p w14:paraId="297276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≤300</w:t>
            </w:r>
          </w:p>
        </w:tc>
        <w:tc>
          <w:tcPr>
            <w:tcW w:w="678" w:type="pct"/>
            <w:tcBorders>
              <w:top w:val="nil"/>
              <w:left w:val="nil"/>
              <w:bottom w:val="single" w:color="auto" w:sz="4" w:space="0"/>
              <w:right w:val="single" w:color="auto" w:sz="4" w:space="0"/>
            </w:tcBorders>
            <w:noWrap w:val="0"/>
            <w:vAlign w:val="center"/>
          </w:tcPr>
          <w:p w14:paraId="57BC60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300—500]</w:t>
            </w:r>
          </w:p>
        </w:tc>
        <w:tc>
          <w:tcPr>
            <w:tcW w:w="752" w:type="pct"/>
            <w:tcBorders>
              <w:top w:val="nil"/>
              <w:left w:val="nil"/>
              <w:bottom w:val="single" w:color="auto" w:sz="4" w:space="0"/>
              <w:right w:val="single" w:color="auto" w:sz="4" w:space="0"/>
            </w:tcBorders>
            <w:noWrap w:val="0"/>
            <w:vAlign w:val="center"/>
          </w:tcPr>
          <w:p w14:paraId="1E2D0D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500—700]</w:t>
            </w:r>
          </w:p>
        </w:tc>
        <w:tc>
          <w:tcPr>
            <w:tcW w:w="802" w:type="pct"/>
            <w:tcBorders>
              <w:top w:val="nil"/>
              <w:left w:val="nil"/>
              <w:bottom w:val="single" w:color="auto" w:sz="4" w:space="0"/>
              <w:right w:val="single" w:color="auto" w:sz="4" w:space="0"/>
            </w:tcBorders>
            <w:noWrap w:val="0"/>
            <w:vAlign w:val="center"/>
          </w:tcPr>
          <w:p w14:paraId="4109EB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700—1000]</w:t>
            </w:r>
          </w:p>
        </w:tc>
        <w:tc>
          <w:tcPr>
            <w:tcW w:w="682" w:type="pct"/>
            <w:tcBorders>
              <w:top w:val="nil"/>
              <w:left w:val="nil"/>
              <w:bottom w:val="single" w:color="auto" w:sz="4" w:space="0"/>
              <w:right w:val="single" w:color="auto" w:sz="4" w:space="0"/>
            </w:tcBorders>
            <w:noWrap w:val="0"/>
            <w:vAlign w:val="center"/>
          </w:tcPr>
          <w:p w14:paraId="6259A0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&gt;1000</w:t>
            </w:r>
          </w:p>
        </w:tc>
      </w:tr>
      <w:tr w14:paraId="1EB54C2A">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35BBFE0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3E498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w:t>
            </w:r>
            <w:r>
              <w:rPr>
                <w:rFonts w:hint="eastAsia" w:ascii="Times New Roman" w:hAnsi="Times New Roman" w:eastAsia="仿宋" w:cs="仿宋"/>
                <w:b w:val="0"/>
                <w:bCs w:val="0"/>
                <w:caps w:val="0"/>
                <w:smallCaps w:val="0"/>
                <w:color w:val="auto"/>
                <w:sz w:val="21"/>
                <w:szCs w:val="21"/>
                <w:highlight w:val="none"/>
                <w:lang w:val="en-US" w:eastAsia="zh-CN"/>
              </w:rPr>
              <w:t>学校</w:t>
            </w:r>
            <w:r>
              <w:rPr>
                <w:rFonts w:hint="eastAsia" w:ascii="Times New Roman" w:hAnsi="Times New Roman" w:eastAsia="仿宋" w:cs="仿宋"/>
                <w:b w:val="0"/>
                <w:bCs w:val="0"/>
                <w:caps w:val="0"/>
                <w:smallCaps w:val="0"/>
                <w:color w:val="auto"/>
                <w:sz w:val="21"/>
                <w:szCs w:val="21"/>
                <w:highlight w:val="none"/>
              </w:rPr>
              <w:t>距离（米）</w:t>
            </w:r>
          </w:p>
        </w:tc>
        <w:tc>
          <w:tcPr>
            <w:tcW w:w="686" w:type="pct"/>
            <w:tcBorders>
              <w:top w:val="nil"/>
              <w:left w:val="nil"/>
              <w:bottom w:val="single" w:color="auto" w:sz="4" w:space="0"/>
              <w:right w:val="single" w:color="auto" w:sz="4" w:space="0"/>
            </w:tcBorders>
            <w:noWrap w:val="0"/>
            <w:vAlign w:val="center"/>
          </w:tcPr>
          <w:p w14:paraId="795960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≤500</w:t>
            </w:r>
          </w:p>
        </w:tc>
        <w:tc>
          <w:tcPr>
            <w:tcW w:w="678" w:type="pct"/>
            <w:tcBorders>
              <w:top w:val="nil"/>
              <w:left w:val="nil"/>
              <w:bottom w:val="single" w:color="auto" w:sz="4" w:space="0"/>
              <w:right w:val="single" w:color="auto" w:sz="4" w:space="0"/>
            </w:tcBorders>
            <w:noWrap w:val="0"/>
            <w:vAlign w:val="center"/>
          </w:tcPr>
          <w:p w14:paraId="447BE0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500—1000]</w:t>
            </w:r>
          </w:p>
        </w:tc>
        <w:tc>
          <w:tcPr>
            <w:tcW w:w="752" w:type="pct"/>
            <w:tcBorders>
              <w:top w:val="nil"/>
              <w:left w:val="nil"/>
              <w:bottom w:val="single" w:color="auto" w:sz="4" w:space="0"/>
              <w:right w:val="single" w:color="auto" w:sz="4" w:space="0"/>
            </w:tcBorders>
            <w:noWrap w:val="0"/>
            <w:vAlign w:val="center"/>
          </w:tcPr>
          <w:p w14:paraId="408954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1000—1500]</w:t>
            </w:r>
          </w:p>
        </w:tc>
        <w:tc>
          <w:tcPr>
            <w:tcW w:w="802" w:type="pct"/>
            <w:tcBorders>
              <w:top w:val="nil"/>
              <w:left w:val="nil"/>
              <w:bottom w:val="single" w:color="auto" w:sz="4" w:space="0"/>
              <w:right w:val="single" w:color="auto" w:sz="4" w:space="0"/>
            </w:tcBorders>
            <w:noWrap w:val="0"/>
            <w:vAlign w:val="center"/>
          </w:tcPr>
          <w:p w14:paraId="2B4912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1500—2000]</w:t>
            </w:r>
          </w:p>
        </w:tc>
        <w:tc>
          <w:tcPr>
            <w:tcW w:w="682" w:type="pct"/>
            <w:tcBorders>
              <w:top w:val="nil"/>
              <w:left w:val="nil"/>
              <w:bottom w:val="single" w:color="auto" w:sz="4" w:space="0"/>
              <w:right w:val="single" w:color="auto" w:sz="4" w:space="0"/>
            </w:tcBorders>
            <w:noWrap w:val="0"/>
            <w:vAlign w:val="center"/>
          </w:tcPr>
          <w:p w14:paraId="48B630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&gt;2000</w:t>
            </w:r>
          </w:p>
        </w:tc>
      </w:tr>
      <w:tr w14:paraId="089DCD95">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bottom w:val="single" w:color="000000" w:sz="4" w:space="0"/>
              <w:right w:val="single" w:color="auto" w:sz="4" w:space="0"/>
            </w:tcBorders>
            <w:noWrap w:val="0"/>
            <w:vAlign w:val="center"/>
          </w:tcPr>
          <w:p w14:paraId="2C24339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06FD43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距医院距离（米）</w:t>
            </w:r>
          </w:p>
        </w:tc>
        <w:tc>
          <w:tcPr>
            <w:tcW w:w="686" w:type="pct"/>
            <w:tcBorders>
              <w:top w:val="nil"/>
              <w:left w:val="nil"/>
              <w:bottom w:val="single" w:color="auto" w:sz="4" w:space="0"/>
              <w:right w:val="single" w:color="auto" w:sz="4" w:space="0"/>
            </w:tcBorders>
            <w:noWrap w:val="0"/>
            <w:vAlign w:val="center"/>
          </w:tcPr>
          <w:p w14:paraId="6EC27D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≤500</w:t>
            </w:r>
          </w:p>
        </w:tc>
        <w:tc>
          <w:tcPr>
            <w:tcW w:w="678" w:type="pct"/>
            <w:tcBorders>
              <w:top w:val="nil"/>
              <w:left w:val="nil"/>
              <w:bottom w:val="single" w:color="auto" w:sz="4" w:space="0"/>
              <w:right w:val="single" w:color="auto" w:sz="4" w:space="0"/>
            </w:tcBorders>
            <w:noWrap w:val="0"/>
            <w:vAlign w:val="center"/>
          </w:tcPr>
          <w:p w14:paraId="15DE49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500—1000]</w:t>
            </w:r>
          </w:p>
        </w:tc>
        <w:tc>
          <w:tcPr>
            <w:tcW w:w="752" w:type="pct"/>
            <w:tcBorders>
              <w:top w:val="nil"/>
              <w:left w:val="nil"/>
              <w:bottom w:val="single" w:color="auto" w:sz="4" w:space="0"/>
              <w:right w:val="single" w:color="auto" w:sz="4" w:space="0"/>
            </w:tcBorders>
            <w:noWrap w:val="0"/>
            <w:vAlign w:val="center"/>
          </w:tcPr>
          <w:p w14:paraId="23ED48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1000—1500]</w:t>
            </w:r>
          </w:p>
        </w:tc>
        <w:tc>
          <w:tcPr>
            <w:tcW w:w="802" w:type="pct"/>
            <w:tcBorders>
              <w:top w:val="nil"/>
              <w:left w:val="nil"/>
              <w:bottom w:val="single" w:color="auto" w:sz="4" w:space="0"/>
              <w:right w:val="single" w:color="auto" w:sz="4" w:space="0"/>
            </w:tcBorders>
            <w:noWrap w:val="0"/>
            <w:vAlign w:val="center"/>
          </w:tcPr>
          <w:p w14:paraId="465407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1500—2000]</w:t>
            </w:r>
          </w:p>
        </w:tc>
        <w:tc>
          <w:tcPr>
            <w:tcW w:w="682" w:type="pct"/>
            <w:tcBorders>
              <w:top w:val="nil"/>
              <w:left w:val="nil"/>
              <w:bottom w:val="single" w:color="auto" w:sz="4" w:space="0"/>
              <w:right w:val="single" w:color="auto" w:sz="4" w:space="0"/>
            </w:tcBorders>
            <w:noWrap w:val="0"/>
            <w:vAlign w:val="center"/>
          </w:tcPr>
          <w:p w14:paraId="4E4B06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&gt;2000</w:t>
            </w:r>
          </w:p>
        </w:tc>
      </w:tr>
      <w:tr w14:paraId="24B14661">
        <w:tblPrEx>
          <w:tblCellMar>
            <w:top w:w="0" w:type="dxa"/>
            <w:left w:w="108" w:type="dxa"/>
            <w:bottom w:w="0" w:type="dxa"/>
            <w:right w:w="108" w:type="dxa"/>
          </w:tblCellMar>
        </w:tblPrEx>
        <w:trPr>
          <w:trHeight w:val="255" w:hRule="atLeast"/>
          <w:jc w:val="center"/>
        </w:trPr>
        <w:tc>
          <w:tcPr>
            <w:tcW w:w="366" w:type="pct"/>
            <w:vMerge w:val="restart"/>
            <w:tcBorders>
              <w:top w:val="nil"/>
              <w:left w:val="single" w:color="auto" w:sz="4" w:space="0"/>
              <w:right w:val="single" w:color="auto" w:sz="4" w:space="0"/>
            </w:tcBorders>
            <w:noWrap w:val="0"/>
            <w:vAlign w:val="center"/>
          </w:tcPr>
          <w:p w14:paraId="0190594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val="en-US" w:eastAsia="zh-CN"/>
              </w:rPr>
              <w:t>个别因素</w:t>
            </w:r>
          </w:p>
        </w:tc>
        <w:tc>
          <w:tcPr>
            <w:tcW w:w="1032" w:type="pct"/>
            <w:tcBorders>
              <w:top w:val="nil"/>
              <w:left w:val="nil"/>
              <w:bottom w:val="single" w:color="auto" w:sz="4" w:space="0"/>
              <w:right w:val="single" w:color="auto" w:sz="4" w:space="0"/>
            </w:tcBorders>
            <w:noWrap w:val="0"/>
            <w:vAlign w:val="center"/>
          </w:tcPr>
          <w:p w14:paraId="4B3E1A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环境条件</w:t>
            </w:r>
          </w:p>
        </w:tc>
        <w:tc>
          <w:tcPr>
            <w:tcW w:w="686" w:type="pct"/>
            <w:tcBorders>
              <w:top w:val="nil"/>
              <w:left w:val="nil"/>
              <w:bottom w:val="single" w:color="auto" w:sz="4" w:space="0"/>
              <w:right w:val="single" w:color="auto" w:sz="4" w:space="0"/>
            </w:tcBorders>
            <w:noWrap w:val="0"/>
            <w:vAlign w:val="center"/>
          </w:tcPr>
          <w:p w14:paraId="69A5DB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环境优良，无污染</w:t>
            </w:r>
          </w:p>
        </w:tc>
        <w:tc>
          <w:tcPr>
            <w:tcW w:w="678" w:type="pct"/>
            <w:tcBorders>
              <w:top w:val="nil"/>
              <w:left w:val="nil"/>
              <w:bottom w:val="single" w:color="auto" w:sz="4" w:space="0"/>
              <w:right w:val="single" w:color="auto" w:sz="4" w:space="0"/>
            </w:tcBorders>
            <w:noWrap w:val="0"/>
            <w:vAlign w:val="center"/>
          </w:tcPr>
          <w:p w14:paraId="4B0BA8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环境良好，基本无污染</w:t>
            </w:r>
          </w:p>
        </w:tc>
        <w:tc>
          <w:tcPr>
            <w:tcW w:w="752" w:type="pct"/>
            <w:tcBorders>
              <w:top w:val="nil"/>
              <w:left w:val="nil"/>
              <w:bottom w:val="single" w:color="auto" w:sz="4" w:space="0"/>
              <w:right w:val="single" w:color="auto" w:sz="4" w:space="0"/>
            </w:tcBorders>
            <w:noWrap w:val="0"/>
            <w:vAlign w:val="center"/>
          </w:tcPr>
          <w:p w14:paraId="47983E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环境一般，轻度污染</w:t>
            </w:r>
          </w:p>
        </w:tc>
        <w:tc>
          <w:tcPr>
            <w:tcW w:w="802" w:type="pct"/>
            <w:tcBorders>
              <w:top w:val="nil"/>
              <w:left w:val="nil"/>
              <w:bottom w:val="single" w:color="auto" w:sz="4" w:space="0"/>
              <w:right w:val="single" w:color="auto" w:sz="4" w:space="0"/>
            </w:tcBorders>
            <w:noWrap w:val="0"/>
            <w:vAlign w:val="center"/>
          </w:tcPr>
          <w:p w14:paraId="0222D1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环境较差，污染较重</w:t>
            </w:r>
          </w:p>
        </w:tc>
        <w:tc>
          <w:tcPr>
            <w:tcW w:w="682" w:type="pct"/>
            <w:tcBorders>
              <w:top w:val="nil"/>
              <w:left w:val="nil"/>
              <w:bottom w:val="single" w:color="auto" w:sz="4" w:space="0"/>
              <w:right w:val="single" w:color="auto" w:sz="4" w:space="0"/>
            </w:tcBorders>
            <w:noWrap w:val="0"/>
            <w:vAlign w:val="center"/>
          </w:tcPr>
          <w:p w14:paraId="1E2F7A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环境差，严重污染</w:t>
            </w:r>
          </w:p>
        </w:tc>
      </w:tr>
      <w:tr w14:paraId="5901C6A4">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right w:val="single" w:color="auto" w:sz="4" w:space="0"/>
            </w:tcBorders>
            <w:noWrap w:val="0"/>
            <w:vAlign w:val="center"/>
          </w:tcPr>
          <w:p w14:paraId="07497C7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2E8AE3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686" w:type="pct"/>
            <w:tcBorders>
              <w:top w:val="nil"/>
              <w:left w:val="nil"/>
              <w:bottom w:val="single" w:color="auto" w:sz="4" w:space="0"/>
              <w:right w:val="single" w:color="auto" w:sz="4" w:space="0"/>
            </w:tcBorders>
            <w:noWrap w:val="0"/>
            <w:vAlign w:val="center"/>
          </w:tcPr>
          <w:p w14:paraId="6FDE53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面积适中，对土地利用有利</w:t>
            </w:r>
          </w:p>
        </w:tc>
        <w:tc>
          <w:tcPr>
            <w:tcW w:w="678" w:type="pct"/>
            <w:tcBorders>
              <w:top w:val="nil"/>
              <w:left w:val="nil"/>
              <w:bottom w:val="single" w:color="auto" w:sz="4" w:space="0"/>
              <w:right w:val="single" w:color="auto" w:sz="4" w:space="0"/>
            </w:tcBorders>
            <w:noWrap w:val="0"/>
            <w:vAlign w:val="center"/>
          </w:tcPr>
          <w:p w14:paraId="66B527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面积对土地利用较为有利</w:t>
            </w:r>
          </w:p>
        </w:tc>
        <w:tc>
          <w:tcPr>
            <w:tcW w:w="752" w:type="pct"/>
            <w:tcBorders>
              <w:top w:val="nil"/>
              <w:left w:val="nil"/>
              <w:bottom w:val="single" w:color="auto" w:sz="4" w:space="0"/>
              <w:right w:val="single" w:color="auto" w:sz="4" w:space="0"/>
            </w:tcBorders>
            <w:noWrap w:val="0"/>
            <w:vAlign w:val="center"/>
          </w:tcPr>
          <w:p w14:paraId="4E8EFB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面积对土地利用无不良影响</w:t>
            </w:r>
          </w:p>
        </w:tc>
        <w:tc>
          <w:tcPr>
            <w:tcW w:w="802" w:type="pct"/>
            <w:tcBorders>
              <w:top w:val="nil"/>
              <w:left w:val="nil"/>
              <w:bottom w:val="single" w:color="auto" w:sz="4" w:space="0"/>
              <w:right w:val="single" w:color="auto" w:sz="4" w:space="0"/>
            </w:tcBorders>
            <w:noWrap w:val="0"/>
            <w:vAlign w:val="center"/>
          </w:tcPr>
          <w:p w14:paraId="55D019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面积较小，对土地利用有一定影响</w:t>
            </w:r>
          </w:p>
        </w:tc>
        <w:tc>
          <w:tcPr>
            <w:tcW w:w="682" w:type="pct"/>
            <w:tcBorders>
              <w:top w:val="nil"/>
              <w:left w:val="nil"/>
              <w:bottom w:val="single" w:color="auto" w:sz="4" w:space="0"/>
              <w:right w:val="single" w:color="auto" w:sz="4" w:space="0"/>
            </w:tcBorders>
            <w:noWrap w:val="0"/>
            <w:vAlign w:val="center"/>
          </w:tcPr>
          <w:p w14:paraId="05C9AD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面积过小，对土地利用产生不利影响</w:t>
            </w:r>
          </w:p>
        </w:tc>
      </w:tr>
      <w:tr w14:paraId="51FA7E01">
        <w:tblPrEx>
          <w:tblCellMar>
            <w:top w:w="0" w:type="dxa"/>
            <w:left w:w="108" w:type="dxa"/>
            <w:bottom w:w="0" w:type="dxa"/>
            <w:right w:w="108" w:type="dxa"/>
          </w:tblCellMar>
        </w:tblPrEx>
        <w:trPr>
          <w:trHeight w:val="255" w:hRule="atLeast"/>
          <w:jc w:val="center"/>
        </w:trPr>
        <w:tc>
          <w:tcPr>
            <w:tcW w:w="366" w:type="pct"/>
            <w:vMerge w:val="continue"/>
            <w:tcBorders>
              <w:left w:val="single" w:color="auto" w:sz="4" w:space="0"/>
              <w:bottom w:val="single" w:color="000000" w:sz="4" w:space="0"/>
              <w:right w:val="single" w:color="auto" w:sz="4" w:space="0"/>
            </w:tcBorders>
            <w:noWrap w:val="0"/>
            <w:vAlign w:val="center"/>
          </w:tcPr>
          <w:p w14:paraId="7883C75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032" w:type="pct"/>
            <w:tcBorders>
              <w:top w:val="nil"/>
              <w:left w:val="nil"/>
              <w:bottom w:val="single" w:color="auto" w:sz="4" w:space="0"/>
              <w:right w:val="single" w:color="auto" w:sz="4" w:space="0"/>
            </w:tcBorders>
            <w:noWrap w:val="0"/>
            <w:vAlign w:val="center"/>
          </w:tcPr>
          <w:p w14:paraId="6149F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686" w:type="pct"/>
            <w:tcBorders>
              <w:top w:val="nil"/>
              <w:left w:val="nil"/>
              <w:bottom w:val="single" w:color="auto" w:sz="4" w:space="0"/>
              <w:right w:val="single" w:color="auto" w:sz="4" w:space="0"/>
            </w:tcBorders>
            <w:noWrap w:val="0"/>
            <w:vAlign w:val="center"/>
          </w:tcPr>
          <w:p w14:paraId="39DEEAB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宗地形状规则，利于土地利用</w:t>
            </w:r>
          </w:p>
        </w:tc>
        <w:tc>
          <w:tcPr>
            <w:tcW w:w="678" w:type="pct"/>
            <w:tcBorders>
              <w:top w:val="nil"/>
              <w:left w:val="nil"/>
              <w:bottom w:val="single" w:color="auto" w:sz="4" w:space="0"/>
              <w:right w:val="single" w:color="auto" w:sz="4" w:space="0"/>
            </w:tcBorders>
            <w:noWrap w:val="0"/>
            <w:vAlign w:val="center"/>
          </w:tcPr>
          <w:p w14:paraId="45398D6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宗地形状较规则，较利于土地利用</w:t>
            </w:r>
          </w:p>
        </w:tc>
        <w:tc>
          <w:tcPr>
            <w:tcW w:w="752" w:type="pct"/>
            <w:tcBorders>
              <w:top w:val="nil"/>
              <w:left w:val="nil"/>
              <w:bottom w:val="single" w:color="auto" w:sz="4" w:space="0"/>
              <w:right w:val="single" w:color="auto" w:sz="4" w:space="0"/>
            </w:tcBorders>
            <w:noWrap w:val="0"/>
            <w:vAlign w:val="center"/>
          </w:tcPr>
          <w:p w14:paraId="338FA51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宗地形状一般，利于土地利用无影响</w:t>
            </w:r>
          </w:p>
        </w:tc>
        <w:tc>
          <w:tcPr>
            <w:tcW w:w="802" w:type="pct"/>
            <w:tcBorders>
              <w:top w:val="nil"/>
              <w:left w:val="nil"/>
              <w:bottom w:val="single" w:color="auto" w:sz="4" w:space="0"/>
              <w:right w:val="single" w:color="auto" w:sz="4" w:space="0"/>
            </w:tcBorders>
            <w:noWrap w:val="0"/>
            <w:vAlign w:val="center"/>
          </w:tcPr>
          <w:p w14:paraId="6AF273B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宗地形状较不规则，对土地利用有一定影响</w:t>
            </w:r>
          </w:p>
        </w:tc>
        <w:tc>
          <w:tcPr>
            <w:tcW w:w="682" w:type="pct"/>
            <w:tcBorders>
              <w:top w:val="nil"/>
              <w:left w:val="nil"/>
              <w:bottom w:val="single" w:color="auto" w:sz="4" w:space="0"/>
              <w:right w:val="single" w:color="auto" w:sz="4" w:space="0"/>
            </w:tcBorders>
            <w:noWrap w:val="0"/>
            <w:vAlign w:val="center"/>
          </w:tcPr>
          <w:p w14:paraId="608B22D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宗地形状不规则，不利于土地利用</w:t>
            </w:r>
          </w:p>
        </w:tc>
      </w:tr>
    </w:tbl>
    <w:p w14:paraId="66FAC468">
      <w:pPr>
        <w:rPr>
          <w:rFonts w:hint="eastAsia" w:ascii="Times New Roman" w:hAnsi="Times New Roman" w:eastAsia="仿宋" w:cs="仿宋"/>
          <w:caps w:val="0"/>
          <w:smallCaps w:val="0"/>
          <w:color w:val="auto"/>
          <w:highlight w:val="none"/>
        </w:rPr>
      </w:pPr>
      <w:r>
        <w:rPr>
          <w:rFonts w:hint="eastAsia" w:ascii="Times New Roman" w:hAnsi="Times New Roman" w:eastAsia="仿宋" w:cs="仿宋"/>
          <w:caps w:val="0"/>
          <w:smallCaps w:val="0"/>
          <w:color w:val="auto"/>
          <w:highlight w:val="none"/>
        </w:rPr>
        <w:br w:type="page"/>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7"/>
        <w:gridCol w:w="1221"/>
        <w:gridCol w:w="1224"/>
        <w:gridCol w:w="1224"/>
        <w:gridCol w:w="1222"/>
        <w:gridCol w:w="1297"/>
        <w:gridCol w:w="1314"/>
      </w:tblGrid>
      <w:tr w14:paraId="77C9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5000" w:type="pct"/>
            <w:gridSpan w:val="7"/>
            <w:tcBorders>
              <w:top w:val="nil"/>
              <w:left w:val="nil"/>
              <w:bottom w:val="nil"/>
              <w:right w:val="nil"/>
            </w:tcBorders>
            <w:shd w:val="clear" w:color="auto" w:fill="auto"/>
            <w:noWrap/>
            <w:vAlign w:val="center"/>
          </w:tcPr>
          <w:p w14:paraId="79F9EF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outlineLvl w:val="9"/>
              <w:rPr>
                <w:rFonts w:hint="eastAsia" w:ascii="Times New Roman" w:hAnsi="Times New Roman" w:eastAsia="仿宋" w:cs="仿宋"/>
                <w:i w:val="0"/>
                <w:iCs w:val="0"/>
                <w:caps w:val="0"/>
                <w:smallCaps w:val="0"/>
                <w:color w:val="auto"/>
                <w:sz w:val="24"/>
                <w:szCs w:val="24"/>
                <w:highlight w:val="none"/>
                <w:u w:val="none"/>
                <w:lang w:eastAsia="zh-CN"/>
              </w:rPr>
            </w:pPr>
            <w:r>
              <w:rPr>
                <w:rFonts w:hint="eastAsia" w:ascii="Times New Roman" w:hAnsi="Times New Roman" w:eastAsia="仿宋" w:cs="仿宋"/>
                <w:b/>
                <w:caps w:val="0"/>
                <w:smallCaps w:val="0"/>
                <w:color w:val="auto"/>
                <w:sz w:val="24"/>
                <w:szCs w:val="24"/>
                <w:highlight w:val="none"/>
              </w:rPr>
              <w:t>表</w:t>
            </w:r>
            <w:r>
              <w:rPr>
                <w:rFonts w:hint="eastAsia" w:eastAsia="仿宋" w:cs="仿宋"/>
                <w:b/>
                <w:caps w:val="0"/>
                <w:smallCaps w:val="0"/>
                <w:color w:val="auto"/>
                <w:sz w:val="24"/>
                <w:szCs w:val="24"/>
                <w:highlight w:val="none"/>
                <w:lang w:val="en-US" w:eastAsia="zh-CN"/>
              </w:rPr>
              <w:t>2-18</w:t>
            </w:r>
            <w:r>
              <w:rPr>
                <w:rFonts w:hint="eastAsia" w:ascii="Times New Roman" w:hAnsi="Times New Roman" w:eastAsia="仿宋" w:cs="仿宋"/>
                <w:b/>
                <w:caps w:val="0"/>
                <w:smallCaps w:val="0"/>
                <w:color w:val="auto"/>
                <w:sz w:val="24"/>
                <w:szCs w:val="24"/>
                <w:highlight w:val="none"/>
              </w:rPr>
              <w:t xml:space="preserve"> </w:t>
            </w:r>
            <w:r>
              <w:rPr>
                <w:rFonts w:hint="eastAsia" w:ascii="Times New Roman" w:hAnsi="Times New Roman" w:eastAsia="仿宋" w:cs="仿宋"/>
                <w:b/>
                <w:caps w:val="0"/>
                <w:smallCaps w:val="0"/>
                <w:color w:val="auto"/>
                <w:sz w:val="24"/>
                <w:szCs w:val="24"/>
                <w:highlight w:val="none"/>
                <w:lang w:val="en-US" w:eastAsia="zh-CN"/>
              </w:rPr>
              <w:t>Ⅱ</w:t>
            </w:r>
            <w:r>
              <w:rPr>
                <w:rFonts w:hint="eastAsia" w:ascii="Times New Roman" w:hAnsi="Times New Roman" w:eastAsia="仿宋" w:cs="仿宋"/>
                <w:b/>
                <w:caps w:val="0"/>
                <w:smallCaps w:val="0"/>
                <w:color w:val="auto"/>
                <w:sz w:val="24"/>
                <w:szCs w:val="24"/>
                <w:highlight w:val="none"/>
              </w:rPr>
              <w:t>级</w:t>
            </w:r>
            <w:r>
              <w:rPr>
                <w:rFonts w:hint="eastAsia" w:ascii="Times New Roman" w:hAnsi="Times New Roman" w:eastAsia="仿宋" w:cs="仿宋"/>
                <w:b/>
                <w:caps w:val="0"/>
                <w:smallCaps w:val="0"/>
                <w:color w:val="auto"/>
                <w:sz w:val="24"/>
                <w:szCs w:val="24"/>
                <w:highlight w:val="none"/>
                <w:lang w:val="en-US" w:eastAsia="zh-CN"/>
              </w:rPr>
              <w:t>公共管理与公共服务用地</w:t>
            </w:r>
            <w:r>
              <w:rPr>
                <w:rFonts w:hint="eastAsia" w:ascii="Times New Roman" w:hAnsi="Times New Roman" w:eastAsia="仿宋" w:cs="仿宋"/>
                <w:b/>
                <w:caps w:val="0"/>
                <w:smallCaps w:val="0"/>
                <w:color w:val="auto"/>
                <w:sz w:val="24"/>
                <w:szCs w:val="24"/>
                <w:highlight w:val="none"/>
                <w:lang w:eastAsia="zh-CN"/>
              </w:rPr>
              <w:t>地价影响因素指标说明表</w:t>
            </w:r>
          </w:p>
        </w:tc>
      </w:tr>
      <w:tr w14:paraId="6C4F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6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14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80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B3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D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5E4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9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14EF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BD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距商服中心距离</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B0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DB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0.0246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34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0.0123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F2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95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-0.0082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DC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-0.0164 </w:t>
            </w:r>
          </w:p>
        </w:tc>
      </w:tr>
      <w:tr w14:paraId="4B33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32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道路类型</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9C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70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1A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F0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8E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-0.0063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C9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-0.0126 </w:t>
            </w:r>
          </w:p>
        </w:tc>
      </w:tr>
      <w:tr w14:paraId="70DCD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E18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3F6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D3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0.0189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E1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D8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3B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-0.0063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D7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-0.0126 </w:t>
            </w:r>
          </w:p>
        </w:tc>
      </w:tr>
      <w:tr w14:paraId="5988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C7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88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0.08</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1B5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0.0152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1DDC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84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9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-0.0051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C4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-0.0101 </w:t>
            </w:r>
          </w:p>
        </w:tc>
      </w:tr>
      <w:tr w14:paraId="3A759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EC0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4D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5EE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E86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2B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76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CD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4177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42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供暖</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97B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1B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0.0095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EA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0.0047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BC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44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-0.0032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26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-0.0063 </w:t>
            </w:r>
          </w:p>
        </w:tc>
      </w:tr>
      <w:tr w14:paraId="7E72E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4F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人口密度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CC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8F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0.0114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B8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0.0057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A3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A1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1B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r>
      <w:tr w14:paraId="0D55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4B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距银行距离</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9FF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71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17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74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42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D4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5FEB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1E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距学校距离</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BC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06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27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5C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C9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B4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171D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56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距医院距离</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95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DC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32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5FA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B6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54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6E4E3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59A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环境条件</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F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A2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A3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45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25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42F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7DD2A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BD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E6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14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E1B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85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29A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FF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r w14:paraId="6F60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D9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93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164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0.0133 </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911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0.0066 </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23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BC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-0.0044 </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73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r>
    </w:tbl>
    <w:p w14:paraId="5358D885">
      <w:pPr>
        <w:rPr>
          <w:rFonts w:hint="eastAsia" w:ascii="Times New Roman" w:hAnsi="Times New Roman" w:eastAsia="仿宋" w:cs="仿宋"/>
          <w:b w:val="0"/>
          <w:bCs/>
          <w:caps w:val="0"/>
          <w:smallCaps w:val="0"/>
          <w:color w:val="auto"/>
          <w:sz w:val="28"/>
          <w:szCs w:val="28"/>
          <w:highlight w:val="none"/>
        </w:rPr>
      </w:pPr>
      <w:r>
        <w:rPr>
          <w:rFonts w:hint="eastAsia" w:ascii="Times New Roman" w:hAnsi="Times New Roman" w:eastAsia="仿宋" w:cs="仿宋"/>
          <w:b w:val="0"/>
          <w:bCs/>
          <w:caps w:val="0"/>
          <w:smallCaps w:val="0"/>
          <w:color w:val="auto"/>
          <w:sz w:val="28"/>
          <w:szCs w:val="28"/>
          <w:highlight w:val="none"/>
        </w:rPr>
        <w:br w:type="page"/>
      </w:r>
    </w:p>
    <w:p w14:paraId="6FF7FAA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560" w:firstLineChars="200"/>
        <w:textAlignment w:val="auto"/>
        <w:outlineLvl w:val="9"/>
        <w:rPr>
          <w:rFonts w:hint="eastAsia" w:ascii="Times New Roman" w:hAnsi="Times New Roman" w:eastAsia="仿宋" w:cs="仿宋"/>
          <w:b w:val="0"/>
          <w:bCs/>
          <w:caps w:val="0"/>
          <w:smallCaps w:val="0"/>
          <w:color w:val="auto"/>
          <w:kern w:val="2"/>
          <w:sz w:val="28"/>
          <w:szCs w:val="28"/>
          <w:highlight w:val="none"/>
        </w:rPr>
      </w:pPr>
      <w:r>
        <w:rPr>
          <w:rFonts w:hint="eastAsia" w:ascii="Times New Roman" w:hAnsi="Times New Roman" w:eastAsia="仿宋" w:cs="仿宋"/>
          <w:b w:val="0"/>
          <w:bCs/>
          <w:caps w:val="0"/>
          <w:smallCaps w:val="0"/>
          <w:color w:val="auto"/>
          <w:sz w:val="28"/>
          <w:szCs w:val="28"/>
          <w:highlight w:val="none"/>
        </w:rPr>
        <w:t>（</w:t>
      </w:r>
      <w:r>
        <w:rPr>
          <w:rFonts w:hint="eastAsia" w:ascii="Times New Roman" w:hAnsi="Times New Roman" w:eastAsia="仿宋" w:cs="仿宋"/>
          <w:b w:val="0"/>
          <w:bCs/>
          <w:caps w:val="0"/>
          <w:smallCaps w:val="0"/>
          <w:color w:val="auto"/>
          <w:sz w:val="28"/>
          <w:szCs w:val="28"/>
          <w:highlight w:val="none"/>
          <w:lang w:val="en-US" w:eastAsia="zh-CN"/>
        </w:rPr>
        <w:t>5</w:t>
      </w:r>
      <w:r>
        <w:rPr>
          <w:rFonts w:hint="eastAsia" w:ascii="Times New Roman" w:hAnsi="Times New Roman" w:eastAsia="仿宋" w:cs="仿宋"/>
          <w:b w:val="0"/>
          <w:bCs/>
          <w:caps w:val="0"/>
          <w:smallCaps w:val="0"/>
          <w:color w:val="auto"/>
          <w:sz w:val="28"/>
          <w:szCs w:val="28"/>
          <w:highlight w:val="none"/>
        </w:rPr>
        <w:t>）</w:t>
      </w:r>
      <w:r>
        <w:rPr>
          <w:rFonts w:hint="eastAsia" w:ascii="Times New Roman" w:hAnsi="Times New Roman" w:eastAsia="仿宋" w:cs="仿宋"/>
          <w:b w:val="0"/>
          <w:bCs/>
          <w:caps w:val="0"/>
          <w:smallCaps w:val="0"/>
          <w:color w:val="auto"/>
          <w:kern w:val="2"/>
          <w:sz w:val="28"/>
          <w:szCs w:val="28"/>
          <w:highlight w:val="none"/>
          <w:lang w:val="en-US" w:eastAsia="zh-CN"/>
        </w:rPr>
        <w:t>公用设施用地</w:t>
      </w:r>
      <w:r>
        <w:rPr>
          <w:rFonts w:hint="eastAsia" w:ascii="Times New Roman" w:hAnsi="Times New Roman" w:eastAsia="仿宋" w:cs="仿宋"/>
          <w:b w:val="0"/>
          <w:bCs/>
          <w:caps w:val="0"/>
          <w:smallCaps w:val="0"/>
          <w:color w:val="auto"/>
          <w:kern w:val="2"/>
          <w:sz w:val="28"/>
          <w:szCs w:val="28"/>
          <w:highlight w:val="none"/>
        </w:rPr>
        <w:t>地价影响因素指标说明表及修正系数表</w:t>
      </w:r>
    </w:p>
    <w:p w14:paraId="061639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caps w:val="0"/>
          <w:smallCaps w:val="0"/>
          <w:color w:val="auto"/>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2-19</w:t>
      </w:r>
      <w:r>
        <w:rPr>
          <w:rFonts w:hint="eastAsia" w:ascii="Times New Roman" w:hAnsi="Times New Roman" w:eastAsia="仿宋" w:cs="仿宋"/>
          <w:b/>
          <w:caps w:val="0"/>
          <w:smallCaps w:val="0"/>
          <w:color w:val="auto"/>
          <w:sz w:val="24"/>
          <w:highlight w:val="none"/>
        </w:rPr>
        <w:t xml:space="preserve"> </w:t>
      </w:r>
      <w:r>
        <w:rPr>
          <w:rFonts w:hint="eastAsia" w:ascii="Times New Roman" w:hAnsi="Times New Roman" w:eastAsia="仿宋" w:cs="仿宋"/>
          <w:b/>
          <w:caps w:val="0"/>
          <w:smallCaps w:val="0"/>
          <w:color w:val="auto"/>
          <w:sz w:val="22"/>
          <w:szCs w:val="24"/>
          <w:highlight w:val="none"/>
        </w:rPr>
        <w:t>Ⅰ级</w:t>
      </w:r>
      <w:r>
        <w:rPr>
          <w:rFonts w:hint="eastAsia" w:ascii="Times New Roman" w:hAnsi="Times New Roman" w:eastAsia="仿宋" w:cs="仿宋"/>
          <w:b/>
          <w:caps w:val="0"/>
          <w:smallCaps w:val="0"/>
          <w:color w:val="auto"/>
          <w:sz w:val="24"/>
          <w:highlight w:val="none"/>
          <w:lang w:val="en-US" w:eastAsia="zh-CN"/>
        </w:rPr>
        <w:t>公用设施用地</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5148" w:type="pct"/>
        <w:jc w:val="center"/>
        <w:tblLayout w:type="fixed"/>
        <w:tblCellMar>
          <w:top w:w="0" w:type="dxa"/>
          <w:left w:w="108" w:type="dxa"/>
          <w:bottom w:w="0" w:type="dxa"/>
          <w:right w:w="108" w:type="dxa"/>
        </w:tblCellMar>
      </w:tblPr>
      <w:tblGrid>
        <w:gridCol w:w="521"/>
        <w:gridCol w:w="1785"/>
        <w:gridCol w:w="1379"/>
        <w:gridCol w:w="1257"/>
        <w:gridCol w:w="1364"/>
        <w:gridCol w:w="1467"/>
        <w:gridCol w:w="1202"/>
      </w:tblGrid>
      <w:tr w14:paraId="259AAD14">
        <w:tblPrEx>
          <w:tblCellMar>
            <w:top w:w="0" w:type="dxa"/>
            <w:left w:w="108" w:type="dxa"/>
            <w:bottom w:w="0" w:type="dxa"/>
            <w:right w:w="108" w:type="dxa"/>
          </w:tblCellMar>
        </w:tblPrEx>
        <w:trPr>
          <w:trHeight w:val="283" w:hRule="atLeast"/>
          <w:jc w:val="center"/>
        </w:trPr>
        <w:tc>
          <w:tcPr>
            <w:tcW w:w="1284" w:type="pct"/>
            <w:gridSpan w:val="2"/>
            <w:tcBorders>
              <w:top w:val="single" w:color="auto" w:sz="4" w:space="0"/>
              <w:left w:val="single" w:color="auto" w:sz="4" w:space="0"/>
              <w:bottom w:val="single" w:color="auto" w:sz="4" w:space="0"/>
              <w:right w:val="single" w:color="auto" w:sz="4" w:space="0"/>
            </w:tcBorders>
            <w:noWrap w:val="0"/>
            <w:vAlign w:val="center"/>
          </w:tcPr>
          <w:p w14:paraId="7085D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影响因素</w:t>
            </w:r>
          </w:p>
        </w:tc>
        <w:tc>
          <w:tcPr>
            <w:tcW w:w="768" w:type="pct"/>
            <w:tcBorders>
              <w:top w:val="single" w:color="auto" w:sz="4" w:space="0"/>
              <w:left w:val="nil"/>
              <w:bottom w:val="single" w:color="auto" w:sz="4" w:space="0"/>
              <w:right w:val="single" w:color="auto" w:sz="4" w:space="0"/>
            </w:tcBorders>
            <w:noWrap w:val="0"/>
            <w:vAlign w:val="center"/>
          </w:tcPr>
          <w:p w14:paraId="6BFFEA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优</w:t>
            </w:r>
          </w:p>
        </w:tc>
        <w:tc>
          <w:tcPr>
            <w:tcW w:w="700" w:type="pct"/>
            <w:tcBorders>
              <w:top w:val="single" w:color="auto" w:sz="4" w:space="0"/>
              <w:left w:val="nil"/>
              <w:bottom w:val="single" w:color="auto" w:sz="4" w:space="0"/>
              <w:right w:val="single" w:color="auto" w:sz="4" w:space="0"/>
            </w:tcBorders>
            <w:noWrap w:val="0"/>
            <w:vAlign w:val="center"/>
          </w:tcPr>
          <w:p w14:paraId="2020F6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较优</w:t>
            </w:r>
          </w:p>
        </w:tc>
        <w:tc>
          <w:tcPr>
            <w:tcW w:w="759" w:type="pct"/>
            <w:tcBorders>
              <w:top w:val="single" w:color="auto" w:sz="4" w:space="0"/>
              <w:left w:val="nil"/>
              <w:bottom w:val="single" w:color="auto" w:sz="4" w:space="0"/>
              <w:right w:val="single" w:color="auto" w:sz="4" w:space="0"/>
            </w:tcBorders>
            <w:noWrap w:val="0"/>
            <w:vAlign w:val="center"/>
          </w:tcPr>
          <w:p w14:paraId="22B83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一般</w:t>
            </w:r>
          </w:p>
        </w:tc>
        <w:tc>
          <w:tcPr>
            <w:tcW w:w="817" w:type="pct"/>
            <w:tcBorders>
              <w:top w:val="single" w:color="auto" w:sz="4" w:space="0"/>
              <w:left w:val="nil"/>
              <w:bottom w:val="single" w:color="auto" w:sz="4" w:space="0"/>
              <w:right w:val="single" w:color="auto" w:sz="4" w:space="0"/>
            </w:tcBorders>
            <w:noWrap w:val="0"/>
            <w:vAlign w:val="center"/>
          </w:tcPr>
          <w:p w14:paraId="5CEA9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较劣</w:t>
            </w:r>
          </w:p>
        </w:tc>
        <w:tc>
          <w:tcPr>
            <w:tcW w:w="669" w:type="pct"/>
            <w:tcBorders>
              <w:top w:val="single" w:color="auto" w:sz="4" w:space="0"/>
              <w:left w:val="nil"/>
              <w:bottom w:val="single" w:color="auto" w:sz="4" w:space="0"/>
              <w:right w:val="single" w:color="auto" w:sz="4" w:space="0"/>
            </w:tcBorders>
            <w:noWrap w:val="0"/>
            <w:vAlign w:val="center"/>
          </w:tcPr>
          <w:p w14:paraId="53A4A3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劣</w:t>
            </w:r>
          </w:p>
        </w:tc>
      </w:tr>
      <w:tr w14:paraId="3AB2D70F">
        <w:tblPrEx>
          <w:tblCellMar>
            <w:top w:w="0" w:type="dxa"/>
            <w:left w:w="108" w:type="dxa"/>
            <w:bottom w:w="0" w:type="dxa"/>
            <w:right w:w="108" w:type="dxa"/>
          </w:tblCellMar>
        </w:tblPrEx>
        <w:trPr>
          <w:trHeight w:val="283" w:hRule="atLeast"/>
          <w:jc w:val="center"/>
        </w:trPr>
        <w:tc>
          <w:tcPr>
            <w:tcW w:w="290" w:type="pct"/>
            <w:vMerge w:val="restart"/>
            <w:tcBorders>
              <w:top w:val="nil"/>
              <w:left w:val="single" w:color="auto" w:sz="4" w:space="0"/>
              <w:right w:val="single" w:color="auto" w:sz="4" w:space="0"/>
            </w:tcBorders>
            <w:noWrap w:val="0"/>
            <w:vAlign w:val="center"/>
          </w:tcPr>
          <w:p w14:paraId="5558A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w:t>
            </w:r>
          </w:p>
          <w:p w14:paraId="500811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因素</w:t>
            </w:r>
          </w:p>
        </w:tc>
        <w:tc>
          <w:tcPr>
            <w:tcW w:w="994" w:type="pct"/>
            <w:tcBorders>
              <w:top w:val="nil"/>
              <w:left w:val="nil"/>
              <w:bottom w:val="single" w:color="auto" w:sz="4" w:space="0"/>
              <w:right w:val="single" w:color="auto" w:sz="4" w:space="0"/>
            </w:tcBorders>
            <w:noWrap w:val="0"/>
            <w:vAlign w:val="center"/>
          </w:tcPr>
          <w:p w14:paraId="7A00FD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道路通达度</w:t>
            </w:r>
          </w:p>
        </w:tc>
        <w:tc>
          <w:tcPr>
            <w:tcW w:w="768" w:type="pct"/>
            <w:tcBorders>
              <w:top w:val="nil"/>
              <w:left w:val="nil"/>
              <w:bottom w:val="single" w:color="auto" w:sz="4" w:space="0"/>
              <w:right w:val="single" w:color="auto" w:sz="4" w:space="0"/>
            </w:tcBorders>
            <w:noWrap w:val="0"/>
            <w:vAlign w:val="center"/>
          </w:tcPr>
          <w:p w14:paraId="43E231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区域内有主、次干道通过，道路通达度好</w:t>
            </w:r>
          </w:p>
        </w:tc>
        <w:tc>
          <w:tcPr>
            <w:tcW w:w="700" w:type="pct"/>
            <w:tcBorders>
              <w:top w:val="nil"/>
              <w:left w:val="nil"/>
              <w:bottom w:val="single" w:color="auto" w:sz="4" w:space="0"/>
              <w:right w:val="single" w:color="auto" w:sz="4" w:space="0"/>
            </w:tcBorders>
            <w:noWrap w:val="0"/>
            <w:vAlign w:val="center"/>
          </w:tcPr>
          <w:p w14:paraId="7D06A4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区域内有主干道通过，道路通达度较好</w:t>
            </w:r>
          </w:p>
        </w:tc>
        <w:tc>
          <w:tcPr>
            <w:tcW w:w="759" w:type="pct"/>
            <w:tcBorders>
              <w:top w:val="nil"/>
              <w:left w:val="nil"/>
              <w:bottom w:val="single" w:color="auto" w:sz="4" w:space="0"/>
              <w:right w:val="single" w:color="auto" w:sz="4" w:space="0"/>
            </w:tcBorders>
            <w:noWrap w:val="0"/>
            <w:vAlign w:val="center"/>
          </w:tcPr>
          <w:p w14:paraId="50F4C8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区域内有次干道通过，道路通达性一般</w:t>
            </w:r>
          </w:p>
        </w:tc>
        <w:tc>
          <w:tcPr>
            <w:tcW w:w="817" w:type="pct"/>
            <w:tcBorders>
              <w:top w:val="nil"/>
              <w:left w:val="nil"/>
              <w:bottom w:val="single" w:color="auto" w:sz="4" w:space="0"/>
              <w:right w:val="single" w:color="auto" w:sz="4" w:space="0"/>
            </w:tcBorders>
            <w:noWrap w:val="0"/>
            <w:vAlign w:val="center"/>
          </w:tcPr>
          <w:p w14:paraId="358FF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区域内有支路通过，道路通达性较差</w:t>
            </w:r>
          </w:p>
        </w:tc>
        <w:tc>
          <w:tcPr>
            <w:tcW w:w="669" w:type="pct"/>
            <w:tcBorders>
              <w:top w:val="nil"/>
              <w:left w:val="nil"/>
              <w:bottom w:val="single" w:color="auto" w:sz="4" w:space="0"/>
              <w:right w:val="single" w:color="auto" w:sz="4" w:space="0"/>
            </w:tcBorders>
            <w:noWrap w:val="0"/>
            <w:vAlign w:val="center"/>
          </w:tcPr>
          <w:p w14:paraId="139F11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区域内以巷道为主，道路通达性差</w:t>
            </w:r>
          </w:p>
        </w:tc>
      </w:tr>
      <w:tr w14:paraId="654A3926">
        <w:tblPrEx>
          <w:tblCellMar>
            <w:top w:w="0" w:type="dxa"/>
            <w:left w:w="108" w:type="dxa"/>
            <w:bottom w:w="0" w:type="dxa"/>
            <w:right w:w="108" w:type="dxa"/>
          </w:tblCellMar>
        </w:tblPrEx>
        <w:trPr>
          <w:trHeight w:val="283" w:hRule="atLeast"/>
          <w:jc w:val="center"/>
        </w:trPr>
        <w:tc>
          <w:tcPr>
            <w:tcW w:w="290" w:type="pct"/>
            <w:vMerge w:val="continue"/>
            <w:tcBorders>
              <w:left w:val="single" w:color="auto" w:sz="4" w:space="0"/>
              <w:right w:val="single" w:color="auto" w:sz="4" w:space="0"/>
            </w:tcBorders>
            <w:noWrap w:val="0"/>
            <w:vAlign w:val="center"/>
          </w:tcPr>
          <w:p w14:paraId="44516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p>
        </w:tc>
        <w:tc>
          <w:tcPr>
            <w:tcW w:w="994" w:type="pct"/>
            <w:tcBorders>
              <w:top w:val="nil"/>
              <w:left w:val="nil"/>
              <w:bottom w:val="single" w:color="auto" w:sz="4" w:space="0"/>
              <w:right w:val="single" w:color="auto" w:sz="4" w:space="0"/>
            </w:tcBorders>
            <w:noWrap w:val="0"/>
            <w:vAlign w:val="center"/>
          </w:tcPr>
          <w:p w14:paraId="517489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交通便捷度</w:t>
            </w:r>
          </w:p>
        </w:tc>
        <w:tc>
          <w:tcPr>
            <w:tcW w:w="768" w:type="pct"/>
            <w:tcBorders>
              <w:top w:val="nil"/>
              <w:left w:val="nil"/>
              <w:bottom w:val="single" w:color="auto" w:sz="4" w:space="0"/>
              <w:right w:val="single" w:color="auto" w:sz="4" w:space="0"/>
            </w:tcBorders>
            <w:noWrap w:val="0"/>
            <w:vAlign w:val="center"/>
          </w:tcPr>
          <w:p w14:paraId="68C320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道路通达性好，交通便利</w:t>
            </w:r>
          </w:p>
        </w:tc>
        <w:tc>
          <w:tcPr>
            <w:tcW w:w="700" w:type="pct"/>
            <w:tcBorders>
              <w:top w:val="nil"/>
              <w:left w:val="nil"/>
              <w:bottom w:val="single" w:color="auto" w:sz="4" w:space="0"/>
              <w:right w:val="single" w:color="auto" w:sz="4" w:space="0"/>
            </w:tcBorders>
            <w:noWrap w:val="0"/>
            <w:vAlign w:val="center"/>
          </w:tcPr>
          <w:p w14:paraId="34951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道路通达性较好，交通较便利</w:t>
            </w:r>
          </w:p>
        </w:tc>
        <w:tc>
          <w:tcPr>
            <w:tcW w:w="759" w:type="pct"/>
            <w:tcBorders>
              <w:top w:val="nil"/>
              <w:left w:val="nil"/>
              <w:bottom w:val="single" w:color="auto" w:sz="4" w:space="0"/>
              <w:right w:val="single" w:color="auto" w:sz="4" w:space="0"/>
            </w:tcBorders>
            <w:noWrap w:val="0"/>
            <w:vAlign w:val="center"/>
          </w:tcPr>
          <w:p w14:paraId="7DD887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道路通达性一般</w:t>
            </w:r>
          </w:p>
        </w:tc>
        <w:tc>
          <w:tcPr>
            <w:tcW w:w="817" w:type="pct"/>
            <w:tcBorders>
              <w:top w:val="nil"/>
              <w:left w:val="nil"/>
              <w:bottom w:val="single" w:color="auto" w:sz="4" w:space="0"/>
              <w:right w:val="single" w:color="auto" w:sz="4" w:space="0"/>
            </w:tcBorders>
            <w:noWrap w:val="0"/>
            <w:vAlign w:val="center"/>
          </w:tcPr>
          <w:p w14:paraId="27ED06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道路通达性较差</w:t>
            </w:r>
          </w:p>
        </w:tc>
        <w:tc>
          <w:tcPr>
            <w:tcW w:w="669" w:type="pct"/>
            <w:tcBorders>
              <w:top w:val="nil"/>
              <w:left w:val="nil"/>
              <w:bottom w:val="single" w:color="auto" w:sz="4" w:space="0"/>
              <w:right w:val="single" w:color="auto" w:sz="4" w:space="0"/>
            </w:tcBorders>
            <w:noWrap w:val="0"/>
            <w:vAlign w:val="center"/>
          </w:tcPr>
          <w:p w14:paraId="7D620B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道路通达性差</w:t>
            </w:r>
          </w:p>
        </w:tc>
      </w:tr>
      <w:tr w14:paraId="0FB87ECB">
        <w:tblPrEx>
          <w:tblCellMar>
            <w:top w:w="0" w:type="dxa"/>
            <w:left w:w="108" w:type="dxa"/>
            <w:bottom w:w="0" w:type="dxa"/>
            <w:right w:w="108" w:type="dxa"/>
          </w:tblCellMar>
        </w:tblPrEx>
        <w:trPr>
          <w:trHeight w:val="283" w:hRule="atLeast"/>
          <w:jc w:val="center"/>
        </w:trPr>
        <w:tc>
          <w:tcPr>
            <w:tcW w:w="290" w:type="pct"/>
            <w:vMerge w:val="continue"/>
            <w:tcBorders>
              <w:left w:val="single" w:color="auto" w:sz="4" w:space="0"/>
              <w:right w:val="single" w:color="auto" w:sz="4" w:space="0"/>
            </w:tcBorders>
            <w:noWrap w:val="0"/>
            <w:vAlign w:val="center"/>
          </w:tcPr>
          <w:p w14:paraId="6399D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p>
        </w:tc>
        <w:tc>
          <w:tcPr>
            <w:tcW w:w="994" w:type="pct"/>
            <w:tcBorders>
              <w:top w:val="nil"/>
              <w:left w:val="nil"/>
              <w:bottom w:val="single" w:color="auto" w:sz="4" w:space="0"/>
              <w:right w:val="single" w:color="auto" w:sz="4" w:space="0"/>
            </w:tcBorders>
            <w:noWrap w:val="0"/>
            <w:vAlign w:val="center"/>
          </w:tcPr>
          <w:p w14:paraId="2FF1C4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货运站</w:t>
            </w:r>
            <w:r>
              <w:rPr>
                <w:rFonts w:hint="default" w:ascii="Times New Roman" w:hAnsi="Times New Roman" w:eastAsia="仿宋" w:cs="仿宋"/>
                <w:b w:val="0"/>
                <w:bCs w:val="0"/>
                <w:caps w:val="0"/>
                <w:smallCaps w:val="0"/>
                <w:color w:val="auto"/>
                <w:sz w:val="24"/>
                <w:szCs w:val="24"/>
                <w:highlight w:val="none"/>
                <w:lang w:val="en-US" w:eastAsia="zh-CN"/>
              </w:rPr>
              <w:t>/</w:t>
            </w:r>
            <w:r>
              <w:rPr>
                <w:rFonts w:hint="eastAsia" w:ascii="Times New Roman" w:hAnsi="Times New Roman" w:eastAsia="仿宋" w:cs="仿宋"/>
                <w:b w:val="0"/>
                <w:bCs w:val="0"/>
                <w:caps w:val="0"/>
                <w:smallCaps w:val="0"/>
                <w:color w:val="auto"/>
                <w:sz w:val="24"/>
                <w:szCs w:val="24"/>
                <w:highlight w:val="none"/>
                <w:lang w:val="en-US" w:eastAsia="zh-CN"/>
              </w:rPr>
              <w:t>物流园区</w:t>
            </w:r>
          </w:p>
        </w:tc>
        <w:tc>
          <w:tcPr>
            <w:tcW w:w="768" w:type="pct"/>
            <w:tcBorders>
              <w:top w:val="nil"/>
              <w:left w:val="nil"/>
              <w:bottom w:val="single" w:color="auto" w:sz="4" w:space="0"/>
              <w:right w:val="single" w:color="auto" w:sz="4" w:space="0"/>
            </w:tcBorders>
            <w:shd w:val="clear" w:color="auto" w:fill="auto"/>
            <w:noWrap w:val="0"/>
            <w:vAlign w:val="center"/>
          </w:tcPr>
          <w:p w14:paraId="0A97D2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0</w:t>
            </w: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700</w:t>
            </w:r>
            <w:r>
              <w:rPr>
                <w:rFonts w:hint="eastAsia" w:ascii="Times New Roman" w:hAnsi="Times New Roman" w:eastAsia="仿宋" w:cs="仿宋"/>
                <w:b w:val="0"/>
                <w:bCs w:val="0"/>
                <w:caps w:val="0"/>
                <w:smallCaps w:val="0"/>
                <w:color w:val="auto"/>
                <w:sz w:val="24"/>
                <w:szCs w:val="24"/>
                <w:highlight w:val="none"/>
                <w:lang w:val="en-US" w:eastAsia="zh-CN"/>
              </w:rPr>
              <w:t>）</w:t>
            </w:r>
          </w:p>
        </w:tc>
        <w:tc>
          <w:tcPr>
            <w:tcW w:w="700" w:type="pct"/>
            <w:tcBorders>
              <w:top w:val="nil"/>
              <w:left w:val="nil"/>
              <w:bottom w:val="single" w:color="auto" w:sz="4" w:space="0"/>
              <w:right w:val="single" w:color="auto" w:sz="4" w:space="0"/>
            </w:tcBorders>
            <w:shd w:val="clear" w:color="auto" w:fill="auto"/>
            <w:noWrap w:val="0"/>
            <w:vAlign w:val="center"/>
          </w:tcPr>
          <w:p w14:paraId="42B80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700</w:t>
            </w: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900</w:t>
            </w:r>
            <w:r>
              <w:rPr>
                <w:rFonts w:hint="eastAsia" w:ascii="Times New Roman" w:hAnsi="Times New Roman" w:eastAsia="仿宋" w:cs="仿宋"/>
                <w:b w:val="0"/>
                <w:bCs w:val="0"/>
                <w:caps w:val="0"/>
                <w:smallCaps w:val="0"/>
                <w:color w:val="auto"/>
                <w:sz w:val="24"/>
                <w:szCs w:val="24"/>
                <w:highlight w:val="none"/>
                <w:lang w:val="en-US" w:eastAsia="zh-CN"/>
              </w:rPr>
              <w:t>）</w:t>
            </w:r>
          </w:p>
        </w:tc>
        <w:tc>
          <w:tcPr>
            <w:tcW w:w="759" w:type="pct"/>
            <w:tcBorders>
              <w:top w:val="nil"/>
              <w:left w:val="nil"/>
              <w:bottom w:val="single" w:color="auto" w:sz="4" w:space="0"/>
              <w:right w:val="single" w:color="auto" w:sz="4" w:space="0"/>
            </w:tcBorders>
            <w:shd w:val="clear" w:color="auto" w:fill="auto"/>
            <w:noWrap w:val="0"/>
            <w:vAlign w:val="center"/>
          </w:tcPr>
          <w:p w14:paraId="11402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900</w:t>
            </w: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1100</w:t>
            </w:r>
            <w:r>
              <w:rPr>
                <w:rFonts w:hint="eastAsia" w:ascii="Times New Roman" w:hAnsi="Times New Roman" w:eastAsia="仿宋" w:cs="仿宋"/>
                <w:b w:val="0"/>
                <w:bCs w:val="0"/>
                <w:caps w:val="0"/>
                <w:smallCaps w:val="0"/>
                <w:color w:val="auto"/>
                <w:sz w:val="24"/>
                <w:szCs w:val="24"/>
                <w:highlight w:val="none"/>
                <w:lang w:val="en-US" w:eastAsia="zh-CN"/>
              </w:rPr>
              <w:t>）</w:t>
            </w:r>
          </w:p>
        </w:tc>
        <w:tc>
          <w:tcPr>
            <w:tcW w:w="817" w:type="pct"/>
            <w:tcBorders>
              <w:top w:val="nil"/>
              <w:left w:val="nil"/>
              <w:bottom w:val="single" w:color="auto" w:sz="4" w:space="0"/>
              <w:right w:val="single" w:color="auto" w:sz="4" w:space="0"/>
            </w:tcBorders>
            <w:shd w:val="clear" w:color="auto" w:fill="auto"/>
            <w:noWrap w:val="0"/>
            <w:vAlign w:val="center"/>
          </w:tcPr>
          <w:p w14:paraId="10089B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1100</w:t>
            </w: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1300</w:t>
            </w:r>
            <w:r>
              <w:rPr>
                <w:rFonts w:hint="eastAsia" w:ascii="Times New Roman" w:hAnsi="Times New Roman" w:eastAsia="仿宋" w:cs="仿宋"/>
                <w:b w:val="0"/>
                <w:bCs w:val="0"/>
                <w:caps w:val="0"/>
                <w:smallCaps w:val="0"/>
                <w:color w:val="auto"/>
                <w:sz w:val="24"/>
                <w:szCs w:val="24"/>
                <w:highlight w:val="none"/>
                <w:lang w:val="en-US" w:eastAsia="zh-CN"/>
              </w:rPr>
              <w:t>）米</w:t>
            </w:r>
          </w:p>
        </w:tc>
        <w:tc>
          <w:tcPr>
            <w:tcW w:w="669" w:type="pct"/>
            <w:tcBorders>
              <w:top w:val="nil"/>
              <w:left w:val="nil"/>
              <w:bottom w:val="single" w:color="auto" w:sz="4" w:space="0"/>
              <w:right w:val="single" w:color="auto" w:sz="4" w:space="0"/>
            </w:tcBorders>
            <w:shd w:val="clear" w:color="auto" w:fill="auto"/>
            <w:noWrap w:val="0"/>
            <w:vAlign w:val="center"/>
          </w:tcPr>
          <w:p w14:paraId="78EF79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w:t>
            </w:r>
            <w:r>
              <w:rPr>
                <w:rFonts w:hint="default" w:ascii="Times New Roman" w:hAnsi="Times New Roman" w:eastAsia="仿宋" w:cs="仿宋"/>
                <w:b w:val="0"/>
                <w:bCs w:val="0"/>
                <w:caps w:val="0"/>
                <w:smallCaps w:val="0"/>
                <w:color w:val="auto"/>
                <w:sz w:val="24"/>
                <w:szCs w:val="24"/>
                <w:highlight w:val="none"/>
                <w:lang w:val="en-US" w:eastAsia="zh-CN"/>
              </w:rPr>
              <w:t>1300</w:t>
            </w:r>
          </w:p>
        </w:tc>
      </w:tr>
      <w:tr w14:paraId="54BABF6C">
        <w:tblPrEx>
          <w:tblCellMar>
            <w:top w:w="0" w:type="dxa"/>
            <w:left w:w="108" w:type="dxa"/>
            <w:bottom w:w="0" w:type="dxa"/>
            <w:right w:w="108" w:type="dxa"/>
          </w:tblCellMar>
        </w:tblPrEx>
        <w:trPr>
          <w:trHeight w:val="283" w:hRule="atLeast"/>
          <w:jc w:val="center"/>
        </w:trPr>
        <w:tc>
          <w:tcPr>
            <w:tcW w:w="290" w:type="pct"/>
            <w:vMerge w:val="continue"/>
            <w:tcBorders>
              <w:left w:val="single" w:color="auto" w:sz="4" w:space="0"/>
              <w:right w:val="single" w:color="auto" w:sz="4" w:space="0"/>
            </w:tcBorders>
            <w:noWrap w:val="0"/>
            <w:vAlign w:val="center"/>
          </w:tcPr>
          <w:p w14:paraId="53349D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p>
        </w:tc>
        <w:tc>
          <w:tcPr>
            <w:tcW w:w="994" w:type="pct"/>
            <w:tcBorders>
              <w:top w:val="nil"/>
              <w:left w:val="nil"/>
              <w:bottom w:val="single" w:color="auto" w:sz="4" w:space="0"/>
              <w:right w:val="single" w:color="auto" w:sz="4" w:space="0"/>
            </w:tcBorders>
            <w:noWrap w:val="0"/>
            <w:vAlign w:val="center"/>
          </w:tcPr>
          <w:p w14:paraId="05884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供水</w:t>
            </w:r>
          </w:p>
        </w:tc>
        <w:tc>
          <w:tcPr>
            <w:tcW w:w="768" w:type="pct"/>
            <w:tcBorders>
              <w:top w:val="nil"/>
              <w:left w:val="nil"/>
              <w:bottom w:val="single" w:color="auto" w:sz="4" w:space="0"/>
              <w:right w:val="single" w:color="auto" w:sz="4" w:space="0"/>
            </w:tcBorders>
            <w:noWrap w:val="0"/>
            <w:vAlign w:val="center"/>
          </w:tcPr>
          <w:p w14:paraId="56B4B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供水管道密集，设施完善</w:t>
            </w:r>
          </w:p>
        </w:tc>
        <w:tc>
          <w:tcPr>
            <w:tcW w:w="700" w:type="pct"/>
            <w:tcBorders>
              <w:top w:val="nil"/>
              <w:left w:val="nil"/>
              <w:bottom w:val="single" w:color="auto" w:sz="4" w:space="0"/>
              <w:right w:val="single" w:color="auto" w:sz="4" w:space="0"/>
            </w:tcBorders>
            <w:noWrap w:val="0"/>
            <w:vAlign w:val="center"/>
          </w:tcPr>
          <w:p w14:paraId="6AF19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供水管道较密集，设施较完善</w:t>
            </w:r>
          </w:p>
        </w:tc>
        <w:tc>
          <w:tcPr>
            <w:tcW w:w="759" w:type="pct"/>
            <w:tcBorders>
              <w:top w:val="nil"/>
              <w:left w:val="nil"/>
              <w:bottom w:val="single" w:color="auto" w:sz="4" w:space="0"/>
              <w:right w:val="single" w:color="auto" w:sz="4" w:space="0"/>
            </w:tcBorders>
            <w:noWrap w:val="0"/>
            <w:vAlign w:val="center"/>
          </w:tcPr>
          <w:p w14:paraId="1F2EE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供水管道均匀，基本配套设施</w:t>
            </w:r>
          </w:p>
        </w:tc>
        <w:tc>
          <w:tcPr>
            <w:tcW w:w="817" w:type="pct"/>
            <w:tcBorders>
              <w:top w:val="nil"/>
              <w:left w:val="nil"/>
              <w:bottom w:val="single" w:color="auto" w:sz="4" w:space="0"/>
              <w:right w:val="single" w:color="auto" w:sz="4" w:space="0"/>
            </w:tcBorders>
            <w:noWrap w:val="0"/>
            <w:vAlign w:val="center"/>
          </w:tcPr>
          <w:p w14:paraId="16FBD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供水管道稀疏，有少数配套设施</w:t>
            </w:r>
          </w:p>
        </w:tc>
        <w:tc>
          <w:tcPr>
            <w:tcW w:w="669" w:type="pct"/>
            <w:tcBorders>
              <w:top w:val="nil"/>
              <w:left w:val="nil"/>
              <w:bottom w:val="single" w:color="auto" w:sz="4" w:space="0"/>
              <w:right w:val="single" w:color="auto" w:sz="4" w:space="0"/>
            </w:tcBorders>
            <w:noWrap w:val="0"/>
            <w:vAlign w:val="center"/>
          </w:tcPr>
          <w:p w14:paraId="56BC1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无集中供水</w:t>
            </w:r>
          </w:p>
        </w:tc>
      </w:tr>
      <w:tr w14:paraId="1440EF33">
        <w:tblPrEx>
          <w:tblCellMar>
            <w:top w:w="0" w:type="dxa"/>
            <w:left w:w="108" w:type="dxa"/>
            <w:bottom w:w="0" w:type="dxa"/>
            <w:right w:w="108" w:type="dxa"/>
          </w:tblCellMar>
        </w:tblPrEx>
        <w:trPr>
          <w:trHeight w:val="283" w:hRule="atLeast"/>
          <w:jc w:val="center"/>
        </w:trPr>
        <w:tc>
          <w:tcPr>
            <w:tcW w:w="290" w:type="pct"/>
            <w:vMerge w:val="continue"/>
            <w:tcBorders>
              <w:left w:val="single" w:color="auto" w:sz="4" w:space="0"/>
              <w:bottom w:val="single" w:color="auto" w:sz="4" w:space="0"/>
              <w:right w:val="single" w:color="auto" w:sz="4" w:space="0"/>
            </w:tcBorders>
            <w:noWrap w:val="0"/>
            <w:vAlign w:val="center"/>
          </w:tcPr>
          <w:p w14:paraId="14C1A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p>
        </w:tc>
        <w:tc>
          <w:tcPr>
            <w:tcW w:w="994" w:type="pct"/>
            <w:tcBorders>
              <w:top w:val="nil"/>
              <w:left w:val="nil"/>
              <w:bottom w:val="single" w:color="auto" w:sz="4" w:space="0"/>
              <w:right w:val="single" w:color="auto" w:sz="4" w:space="0"/>
            </w:tcBorders>
            <w:noWrap w:val="0"/>
            <w:vAlign w:val="center"/>
          </w:tcPr>
          <w:p w14:paraId="2D8FE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排水</w:t>
            </w:r>
          </w:p>
        </w:tc>
        <w:tc>
          <w:tcPr>
            <w:tcW w:w="768" w:type="pct"/>
            <w:tcBorders>
              <w:top w:val="nil"/>
              <w:left w:val="nil"/>
              <w:bottom w:val="single" w:color="auto" w:sz="4" w:space="0"/>
              <w:right w:val="single" w:color="auto" w:sz="4" w:space="0"/>
            </w:tcBorders>
            <w:shd w:val="clear" w:color="auto" w:fill="auto"/>
            <w:noWrap w:val="0"/>
            <w:vAlign w:val="center"/>
          </w:tcPr>
          <w:p w14:paraId="1934D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有雨排和污排且通畅</w:t>
            </w:r>
          </w:p>
        </w:tc>
        <w:tc>
          <w:tcPr>
            <w:tcW w:w="700" w:type="pct"/>
            <w:tcBorders>
              <w:top w:val="nil"/>
              <w:left w:val="nil"/>
              <w:bottom w:val="single" w:color="auto" w:sz="4" w:space="0"/>
              <w:right w:val="single" w:color="auto" w:sz="4" w:space="0"/>
            </w:tcBorders>
            <w:shd w:val="clear" w:color="auto" w:fill="auto"/>
            <w:noWrap w:val="0"/>
            <w:vAlign w:val="center"/>
          </w:tcPr>
          <w:p w14:paraId="1CB87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有雨排和污排基本通畅</w:t>
            </w:r>
          </w:p>
        </w:tc>
        <w:tc>
          <w:tcPr>
            <w:tcW w:w="759" w:type="pct"/>
            <w:tcBorders>
              <w:top w:val="nil"/>
              <w:left w:val="nil"/>
              <w:bottom w:val="single" w:color="auto" w:sz="4" w:space="0"/>
              <w:right w:val="single" w:color="auto" w:sz="4" w:space="0"/>
            </w:tcBorders>
            <w:shd w:val="clear" w:color="auto" w:fill="auto"/>
            <w:noWrap w:val="0"/>
            <w:vAlign w:val="center"/>
          </w:tcPr>
          <w:p w14:paraId="7E3C5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只有污排</w:t>
            </w:r>
          </w:p>
        </w:tc>
        <w:tc>
          <w:tcPr>
            <w:tcW w:w="817" w:type="pct"/>
            <w:tcBorders>
              <w:top w:val="nil"/>
              <w:left w:val="nil"/>
              <w:bottom w:val="single" w:color="auto" w:sz="4" w:space="0"/>
              <w:right w:val="single" w:color="auto" w:sz="4" w:space="0"/>
            </w:tcBorders>
            <w:shd w:val="clear" w:color="auto" w:fill="auto"/>
            <w:noWrap w:val="0"/>
            <w:vAlign w:val="center"/>
          </w:tcPr>
          <w:p w14:paraId="1B1822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只有雨排</w:t>
            </w:r>
          </w:p>
        </w:tc>
        <w:tc>
          <w:tcPr>
            <w:tcW w:w="669" w:type="pct"/>
            <w:tcBorders>
              <w:top w:val="nil"/>
              <w:left w:val="nil"/>
              <w:bottom w:val="single" w:color="auto" w:sz="4" w:space="0"/>
              <w:right w:val="single" w:color="auto" w:sz="4" w:space="0"/>
            </w:tcBorders>
            <w:shd w:val="clear" w:color="auto" w:fill="auto"/>
            <w:noWrap w:val="0"/>
            <w:vAlign w:val="center"/>
          </w:tcPr>
          <w:p w14:paraId="0C428A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无排水系统</w:t>
            </w:r>
          </w:p>
        </w:tc>
      </w:tr>
      <w:tr w14:paraId="086ADE11">
        <w:tblPrEx>
          <w:tblCellMar>
            <w:top w:w="0" w:type="dxa"/>
            <w:left w:w="108" w:type="dxa"/>
            <w:bottom w:w="0" w:type="dxa"/>
            <w:right w:w="108" w:type="dxa"/>
          </w:tblCellMar>
        </w:tblPrEx>
        <w:trPr>
          <w:trHeight w:val="283" w:hRule="atLeast"/>
          <w:jc w:val="center"/>
        </w:trPr>
        <w:tc>
          <w:tcPr>
            <w:tcW w:w="290" w:type="pct"/>
            <w:vMerge w:val="restart"/>
            <w:tcBorders>
              <w:top w:val="nil"/>
              <w:left w:val="single" w:color="auto" w:sz="4" w:space="0"/>
              <w:bottom w:val="single" w:color="auto" w:sz="4" w:space="0"/>
              <w:right w:val="single" w:color="auto" w:sz="4" w:space="0"/>
            </w:tcBorders>
            <w:noWrap w:val="0"/>
            <w:vAlign w:val="center"/>
          </w:tcPr>
          <w:p w14:paraId="7F818E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个别</w:t>
            </w:r>
          </w:p>
          <w:p w14:paraId="06146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因素</w:t>
            </w:r>
          </w:p>
        </w:tc>
        <w:tc>
          <w:tcPr>
            <w:tcW w:w="994" w:type="pct"/>
            <w:tcBorders>
              <w:top w:val="nil"/>
              <w:left w:val="nil"/>
              <w:bottom w:val="single" w:color="auto" w:sz="4" w:space="0"/>
              <w:right w:val="single" w:color="auto" w:sz="4" w:space="0"/>
            </w:tcBorders>
            <w:noWrap w:val="0"/>
            <w:vAlign w:val="center"/>
          </w:tcPr>
          <w:p w14:paraId="17E59E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宗地形状</w:t>
            </w:r>
          </w:p>
        </w:tc>
        <w:tc>
          <w:tcPr>
            <w:tcW w:w="768" w:type="pct"/>
            <w:tcBorders>
              <w:top w:val="nil"/>
              <w:left w:val="nil"/>
              <w:bottom w:val="single" w:color="auto" w:sz="4" w:space="0"/>
              <w:right w:val="single" w:color="auto" w:sz="4" w:space="0"/>
            </w:tcBorders>
            <w:noWrap w:val="0"/>
            <w:vAlign w:val="center"/>
          </w:tcPr>
          <w:p w14:paraId="2309A3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形状规则极有利于土地利用</w:t>
            </w:r>
          </w:p>
        </w:tc>
        <w:tc>
          <w:tcPr>
            <w:tcW w:w="700" w:type="pct"/>
            <w:tcBorders>
              <w:top w:val="nil"/>
              <w:left w:val="nil"/>
              <w:bottom w:val="single" w:color="auto" w:sz="4" w:space="0"/>
              <w:right w:val="single" w:color="auto" w:sz="4" w:space="0"/>
            </w:tcBorders>
            <w:noWrap w:val="0"/>
            <w:vAlign w:val="center"/>
          </w:tcPr>
          <w:p w14:paraId="08F19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形状规则对土地利用较有利</w:t>
            </w:r>
          </w:p>
        </w:tc>
        <w:tc>
          <w:tcPr>
            <w:tcW w:w="759" w:type="pct"/>
            <w:tcBorders>
              <w:top w:val="nil"/>
              <w:left w:val="nil"/>
              <w:bottom w:val="single" w:color="auto" w:sz="4" w:space="0"/>
              <w:right w:val="single" w:color="auto" w:sz="4" w:space="0"/>
            </w:tcBorders>
            <w:noWrap w:val="0"/>
            <w:vAlign w:val="center"/>
          </w:tcPr>
          <w:p w14:paraId="51591C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形状不规则，对土地利用无不良影响</w:t>
            </w:r>
          </w:p>
        </w:tc>
        <w:tc>
          <w:tcPr>
            <w:tcW w:w="817" w:type="pct"/>
            <w:tcBorders>
              <w:top w:val="nil"/>
              <w:left w:val="nil"/>
              <w:bottom w:val="single" w:color="auto" w:sz="4" w:space="0"/>
              <w:right w:val="single" w:color="auto" w:sz="4" w:space="0"/>
            </w:tcBorders>
            <w:noWrap w:val="0"/>
            <w:vAlign w:val="center"/>
          </w:tcPr>
          <w:p w14:paraId="5F3B8D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形状不规则，对土地利用有一定影响</w:t>
            </w:r>
          </w:p>
        </w:tc>
        <w:tc>
          <w:tcPr>
            <w:tcW w:w="669" w:type="pct"/>
            <w:tcBorders>
              <w:top w:val="nil"/>
              <w:left w:val="nil"/>
              <w:bottom w:val="single" w:color="auto" w:sz="4" w:space="0"/>
              <w:right w:val="single" w:color="auto" w:sz="4" w:space="0"/>
            </w:tcBorders>
            <w:noWrap w:val="0"/>
            <w:vAlign w:val="center"/>
          </w:tcPr>
          <w:p w14:paraId="72FB2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形状极不规则，对土地利用影响严重</w:t>
            </w:r>
          </w:p>
        </w:tc>
      </w:tr>
      <w:tr w14:paraId="293CC53C">
        <w:tblPrEx>
          <w:tblCellMar>
            <w:top w:w="0" w:type="dxa"/>
            <w:left w:w="108" w:type="dxa"/>
            <w:bottom w:w="0" w:type="dxa"/>
            <w:right w:w="108" w:type="dxa"/>
          </w:tblCellMar>
        </w:tblPrEx>
        <w:trPr>
          <w:trHeight w:val="283" w:hRule="atLeast"/>
          <w:jc w:val="center"/>
        </w:trPr>
        <w:tc>
          <w:tcPr>
            <w:tcW w:w="290" w:type="pct"/>
            <w:vMerge w:val="continue"/>
            <w:tcBorders>
              <w:top w:val="nil"/>
              <w:left w:val="single" w:color="auto" w:sz="4" w:space="0"/>
              <w:bottom w:val="single" w:color="auto" w:sz="4" w:space="0"/>
              <w:right w:val="single" w:color="auto" w:sz="4" w:space="0"/>
            </w:tcBorders>
            <w:noWrap w:val="0"/>
            <w:vAlign w:val="center"/>
          </w:tcPr>
          <w:p w14:paraId="20085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　　</w:t>
            </w:r>
          </w:p>
        </w:tc>
        <w:tc>
          <w:tcPr>
            <w:tcW w:w="994" w:type="pct"/>
            <w:tcBorders>
              <w:top w:val="nil"/>
              <w:left w:val="nil"/>
              <w:bottom w:val="single" w:color="auto" w:sz="4" w:space="0"/>
              <w:right w:val="single" w:color="auto" w:sz="4" w:space="0"/>
            </w:tcBorders>
            <w:noWrap w:val="0"/>
            <w:vAlign w:val="center"/>
          </w:tcPr>
          <w:p w14:paraId="4F146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宗地面积</w:t>
            </w:r>
          </w:p>
        </w:tc>
        <w:tc>
          <w:tcPr>
            <w:tcW w:w="768" w:type="pct"/>
            <w:tcBorders>
              <w:top w:val="nil"/>
              <w:left w:val="nil"/>
              <w:bottom w:val="single" w:color="auto" w:sz="4" w:space="0"/>
              <w:right w:val="single" w:color="auto" w:sz="4" w:space="0"/>
            </w:tcBorders>
            <w:noWrap w:val="0"/>
            <w:vAlign w:val="center"/>
          </w:tcPr>
          <w:p w14:paraId="3A3776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面积符合土地利用类型</w:t>
            </w:r>
          </w:p>
        </w:tc>
        <w:tc>
          <w:tcPr>
            <w:tcW w:w="700" w:type="pct"/>
            <w:tcBorders>
              <w:top w:val="nil"/>
              <w:left w:val="nil"/>
              <w:bottom w:val="single" w:color="auto" w:sz="4" w:space="0"/>
              <w:right w:val="single" w:color="auto" w:sz="4" w:space="0"/>
            </w:tcBorders>
            <w:noWrap w:val="0"/>
            <w:vAlign w:val="center"/>
          </w:tcPr>
          <w:p w14:paraId="3DCFF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面积适中，较符合土地利用类型</w:t>
            </w:r>
          </w:p>
        </w:tc>
        <w:tc>
          <w:tcPr>
            <w:tcW w:w="759" w:type="pct"/>
            <w:tcBorders>
              <w:top w:val="nil"/>
              <w:left w:val="nil"/>
              <w:bottom w:val="single" w:color="auto" w:sz="4" w:space="0"/>
              <w:right w:val="single" w:color="auto" w:sz="4" w:space="0"/>
            </w:tcBorders>
            <w:noWrap w:val="0"/>
            <w:vAlign w:val="center"/>
          </w:tcPr>
          <w:p w14:paraId="55AF1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面积偏大或偏小，对土地利用无不良影响</w:t>
            </w:r>
          </w:p>
        </w:tc>
        <w:tc>
          <w:tcPr>
            <w:tcW w:w="817" w:type="pct"/>
            <w:tcBorders>
              <w:top w:val="nil"/>
              <w:left w:val="nil"/>
              <w:bottom w:val="single" w:color="auto" w:sz="4" w:space="0"/>
              <w:right w:val="single" w:color="auto" w:sz="4" w:space="0"/>
            </w:tcBorders>
            <w:noWrap w:val="0"/>
            <w:vAlign w:val="center"/>
          </w:tcPr>
          <w:p w14:paraId="2DE05E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面积偏大或偏小，对土地利用有一定影响</w:t>
            </w:r>
          </w:p>
        </w:tc>
        <w:tc>
          <w:tcPr>
            <w:tcW w:w="669" w:type="pct"/>
            <w:tcBorders>
              <w:top w:val="nil"/>
              <w:left w:val="nil"/>
              <w:bottom w:val="single" w:color="auto" w:sz="4" w:space="0"/>
              <w:right w:val="single" w:color="auto" w:sz="4" w:space="0"/>
            </w:tcBorders>
            <w:noWrap w:val="0"/>
            <w:vAlign w:val="center"/>
          </w:tcPr>
          <w:p w14:paraId="19B270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面积过大或过小，不符合土地利用类型</w:t>
            </w:r>
          </w:p>
        </w:tc>
      </w:tr>
      <w:tr w14:paraId="244075B8">
        <w:tblPrEx>
          <w:tblCellMar>
            <w:top w:w="0" w:type="dxa"/>
            <w:left w:w="108" w:type="dxa"/>
            <w:bottom w:w="0" w:type="dxa"/>
            <w:right w:w="108" w:type="dxa"/>
          </w:tblCellMar>
        </w:tblPrEx>
        <w:trPr>
          <w:trHeight w:val="283" w:hRule="atLeast"/>
          <w:jc w:val="center"/>
        </w:trPr>
        <w:tc>
          <w:tcPr>
            <w:tcW w:w="290" w:type="pct"/>
            <w:vMerge w:val="continue"/>
            <w:tcBorders>
              <w:top w:val="nil"/>
              <w:left w:val="single" w:color="auto" w:sz="4" w:space="0"/>
              <w:bottom w:val="single" w:color="auto" w:sz="4" w:space="0"/>
              <w:right w:val="single" w:color="auto" w:sz="4" w:space="0"/>
            </w:tcBorders>
            <w:noWrap w:val="0"/>
            <w:vAlign w:val="center"/>
          </w:tcPr>
          <w:p w14:paraId="09272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　　</w:t>
            </w:r>
          </w:p>
        </w:tc>
        <w:tc>
          <w:tcPr>
            <w:tcW w:w="994" w:type="pct"/>
            <w:tcBorders>
              <w:top w:val="nil"/>
              <w:left w:val="nil"/>
              <w:bottom w:val="single" w:color="auto" w:sz="4" w:space="0"/>
              <w:right w:val="single" w:color="auto" w:sz="4" w:space="0"/>
            </w:tcBorders>
            <w:noWrap w:val="0"/>
            <w:vAlign w:val="center"/>
          </w:tcPr>
          <w:p w14:paraId="67C80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工程地质</w:t>
            </w:r>
          </w:p>
        </w:tc>
        <w:tc>
          <w:tcPr>
            <w:tcW w:w="768" w:type="pct"/>
            <w:tcBorders>
              <w:top w:val="nil"/>
              <w:left w:val="nil"/>
              <w:bottom w:val="single" w:color="auto" w:sz="4" w:space="0"/>
              <w:right w:val="single" w:color="auto" w:sz="4" w:space="0"/>
            </w:tcBorders>
            <w:noWrap w:val="0"/>
            <w:vAlign w:val="center"/>
          </w:tcPr>
          <w:p w14:paraId="5BA036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地质承载力强，利于建设</w:t>
            </w:r>
          </w:p>
        </w:tc>
        <w:tc>
          <w:tcPr>
            <w:tcW w:w="700" w:type="pct"/>
            <w:tcBorders>
              <w:top w:val="nil"/>
              <w:left w:val="nil"/>
              <w:bottom w:val="single" w:color="auto" w:sz="4" w:space="0"/>
              <w:right w:val="single" w:color="auto" w:sz="4" w:space="0"/>
            </w:tcBorders>
            <w:noWrap w:val="0"/>
            <w:vAlign w:val="center"/>
          </w:tcPr>
          <w:p w14:paraId="12C027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地质承载力较强，利于建设</w:t>
            </w:r>
          </w:p>
        </w:tc>
        <w:tc>
          <w:tcPr>
            <w:tcW w:w="759" w:type="pct"/>
            <w:tcBorders>
              <w:top w:val="nil"/>
              <w:left w:val="nil"/>
              <w:bottom w:val="single" w:color="auto" w:sz="4" w:space="0"/>
              <w:right w:val="single" w:color="auto" w:sz="4" w:space="0"/>
            </w:tcBorders>
            <w:noWrap w:val="0"/>
            <w:vAlign w:val="center"/>
          </w:tcPr>
          <w:p w14:paraId="2569D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无不良地质现象</w:t>
            </w:r>
          </w:p>
        </w:tc>
        <w:tc>
          <w:tcPr>
            <w:tcW w:w="817" w:type="pct"/>
            <w:tcBorders>
              <w:top w:val="nil"/>
              <w:left w:val="nil"/>
              <w:bottom w:val="single" w:color="auto" w:sz="4" w:space="0"/>
              <w:right w:val="single" w:color="auto" w:sz="4" w:space="0"/>
            </w:tcBorders>
            <w:noWrap w:val="0"/>
            <w:vAlign w:val="center"/>
          </w:tcPr>
          <w:p w14:paraId="719360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有不良地质状况，但无需特殊处理</w:t>
            </w:r>
          </w:p>
        </w:tc>
        <w:tc>
          <w:tcPr>
            <w:tcW w:w="669" w:type="pct"/>
            <w:tcBorders>
              <w:top w:val="nil"/>
              <w:left w:val="nil"/>
              <w:bottom w:val="single" w:color="auto" w:sz="4" w:space="0"/>
              <w:right w:val="single" w:color="auto" w:sz="4" w:space="0"/>
            </w:tcBorders>
            <w:noWrap w:val="0"/>
            <w:vAlign w:val="center"/>
          </w:tcPr>
          <w:p w14:paraId="6AABDD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4"/>
                <w:szCs w:val="24"/>
                <w:highlight w:val="none"/>
                <w:lang w:val="en-US" w:eastAsia="zh-CN"/>
              </w:rPr>
            </w:pPr>
            <w:r>
              <w:rPr>
                <w:rFonts w:hint="eastAsia" w:ascii="Times New Roman" w:hAnsi="Times New Roman" w:eastAsia="仿宋" w:cs="仿宋"/>
                <w:b w:val="0"/>
                <w:bCs w:val="0"/>
                <w:caps w:val="0"/>
                <w:smallCaps w:val="0"/>
                <w:color w:val="auto"/>
                <w:sz w:val="24"/>
                <w:szCs w:val="24"/>
                <w:highlight w:val="none"/>
                <w:lang w:val="en-US" w:eastAsia="zh-CN"/>
              </w:rPr>
              <w:t>有不良地质状况，并需特殊处理</w:t>
            </w:r>
          </w:p>
        </w:tc>
      </w:tr>
    </w:tbl>
    <w:p w14:paraId="387895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outlineLvl w:val="9"/>
        <w:rPr>
          <w:rFonts w:hint="eastAsia" w:ascii="Times New Roman" w:hAnsi="Times New Roman" w:eastAsia="仿宋" w:cs="仿宋"/>
          <w:b/>
          <w:caps w:val="0"/>
          <w:smallCaps w:val="0"/>
          <w:color w:val="auto"/>
          <w:sz w:val="24"/>
          <w:szCs w:val="24"/>
          <w:highlight w:val="none"/>
          <w:lang w:val="en-US" w:eastAsia="zh-CN"/>
        </w:rPr>
      </w:pPr>
      <w:r>
        <w:rPr>
          <w:rFonts w:hint="eastAsia" w:ascii="Times New Roman" w:hAnsi="Times New Roman" w:eastAsia="仿宋" w:cs="仿宋"/>
          <w:b/>
          <w:caps w:val="0"/>
          <w:smallCaps w:val="0"/>
          <w:color w:val="auto"/>
          <w:sz w:val="24"/>
          <w:szCs w:val="24"/>
          <w:highlight w:val="none"/>
          <w:lang w:val="en-US" w:eastAsia="zh-CN"/>
        </w:rPr>
        <w:br w:type="page"/>
      </w:r>
    </w:p>
    <w:tbl>
      <w:tblPr>
        <w:tblStyle w:val="14"/>
        <w:tblW w:w="53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44"/>
        <w:gridCol w:w="983"/>
        <w:gridCol w:w="1064"/>
        <w:gridCol w:w="1350"/>
        <w:gridCol w:w="1224"/>
        <w:gridCol w:w="1477"/>
        <w:gridCol w:w="1670"/>
      </w:tblGrid>
      <w:tr w14:paraId="1EA0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jc w:val="center"/>
        </w:trPr>
        <w:tc>
          <w:tcPr>
            <w:tcW w:w="5000" w:type="pct"/>
            <w:gridSpan w:val="7"/>
            <w:tcBorders>
              <w:top w:val="nil"/>
              <w:left w:val="nil"/>
              <w:bottom w:val="nil"/>
              <w:right w:val="nil"/>
            </w:tcBorders>
            <w:shd w:val="clear" w:color="auto" w:fill="auto"/>
            <w:noWrap/>
            <w:vAlign w:val="center"/>
          </w:tcPr>
          <w:p w14:paraId="086E98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outlineLvl w:val="9"/>
              <w:rPr>
                <w:rFonts w:hint="eastAsia" w:ascii="Times New Roman" w:hAnsi="Times New Roman" w:eastAsia="仿宋" w:cs="仿宋"/>
                <w:i w:val="0"/>
                <w:iCs w:val="0"/>
                <w:caps w:val="0"/>
                <w:smallCaps w:val="0"/>
                <w:color w:val="auto"/>
                <w:sz w:val="24"/>
                <w:szCs w:val="24"/>
                <w:highlight w:val="none"/>
                <w:u w:val="none"/>
              </w:rPr>
            </w:pPr>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2-20</w:t>
            </w:r>
            <w:r>
              <w:rPr>
                <w:rFonts w:hint="eastAsia" w:ascii="Times New Roman" w:hAnsi="Times New Roman" w:eastAsia="仿宋" w:cs="仿宋"/>
                <w:b/>
                <w:caps w:val="0"/>
                <w:smallCaps w:val="0"/>
                <w:color w:val="auto"/>
                <w:sz w:val="24"/>
                <w:szCs w:val="24"/>
                <w:highlight w:val="none"/>
                <w:lang w:val="en-US" w:eastAsia="zh-CN"/>
              </w:rPr>
              <w:t xml:space="preserve">  </w:t>
            </w:r>
            <w:r>
              <w:rPr>
                <w:rFonts w:hint="eastAsia" w:ascii="Times New Roman" w:hAnsi="Times New Roman" w:eastAsia="仿宋" w:cs="仿宋"/>
                <w:b/>
                <w:caps w:val="0"/>
                <w:smallCaps w:val="0"/>
                <w:color w:val="auto"/>
                <w:sz w:val="24"/>
                <w:szCs w:val="24"/>
                <w:highlight w:val="none"/>
              </w:rPr>
              <w:t>Ⅰ级</w:t>
            </w:r>
            <w:r>
              <w:rPr>
                <w:rFonts w:hint="eastAsia" w:ascii="Times New Roman" w:hAnsi="Times New Roman" w:eastAsia="仿宋" w:cs="仿宋"/>
                <w:b/>
                <w:caps w:val="0"/>
                <w:smallCaps w:val="0"/>
                <w:color w:val="auto"/>
                <w:sz w:val="24"/>
                <w:szCs w:val="24"/>
                <w:highlight w:val="none"/>
                <w:lang w:val="en-US" w:eastAsia="zh-CN"/>
              </w:rPr>
              <w:t>公用设施用地地价影响因素指标说明表</w:t>
            </w:r>
          </w:p>
        </w:tc>
      </w:tr>
      <w:tr w14:paraId="2ECD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81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79B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70D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06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C8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B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7B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18E22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8A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E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0.16</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3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0.0240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74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8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2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-0.0060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4A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r>
      <w:tr w14:paraId="1A42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2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F5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0.14</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4B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0.0210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31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0.0105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5B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01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-0.0053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4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-0.0105 </w:t>
            </w:r>
          </w:p>
        </w:tc>
      </w:tr>
      <w:tr w14:paraId="5077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F6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货运站</w:t>
            </w:r>
            <w:r>
              <w:rPr>
                <w:rFonts w:hint="default" w:ascii="Times New Roman" w:hAnsi="Times New Roman" w:eastAsia="仿宋" w:cs="仿宋"/>
                <w:b w:val="0"/>
                <w:bCs w:val="0"/>
                <w:caps w:val="0"/>
                <w:smallCaps w:val="0"/>
                <w:color w:val="auto"/>
                <w:sz w:val="21"/>
                <w:szCs w:val="21"/>
                <w:highlight w:val="none"/>
                <w:lang w:val="en-US" w:eastAsia="zh-CN"/>
              </w:rPr>
              <w:t>/</w:t>
            </w:r>
            <w:r>
              <w:rPr>
                <w:rFonts w:hint="eastAsia" w:ascii="Times New Roman" w:hAnsi="Times New Roman" w:eastAsia="仿宋" w:cs="仿宋"/>
                <w:b w:val="0"/>
                <w:bCs w:val="0"/>
                <w:caps w:val="0"/>
                <w:smallCaps w:val="0"/>
                <w:color w:val="auto"/>
                <w:sz w:val="21"/>
                <w:szCs w:val="21"/>
                <w:highlight w:val="none"/>
                <w:lang w:val="en-US" w:eastAsia="zh-CN"/>
              </w:rPr>
              <w:t>物流园区</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E58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0.15</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6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0.0225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6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A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4B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-0.0056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F0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-0.0113 </w:t>
            </w:r>
          </w:p>
        </w:tc>
      </w:tr>
      <w:tr w14:paraId="6B32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BE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14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ED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71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F0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B0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4E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r>
      <w:tr w14:paraId="19ED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939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62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8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9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32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FE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A1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r>
      <w:tr w14:paraId="3321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0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地基承载力</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CF5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0.12</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F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0.0090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F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1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-0.0045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24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-0.0090 </w:t>
            </w:r>
          </w:p>
        </w:tc>
      </w:tr>
      <w:tr w14:paraId="44A3C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E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A79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E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0.0195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B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A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9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-0.0049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0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-0.0098 </w:t>
            </w:r>
          </w:p>
        </w:tc>
      </w:tr>
      <w:tr w14:paraId="52AB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7C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F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5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6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7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B8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c>
          <w:tcPr>
            <w:tcW w:w="6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B4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A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-0.0038 </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0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-0.0075 </w:t>
            </w:r>
          </w:p>
        </w:tc>
      </w:tr>
    </w:tbl>
    <w:p w14:paraId="6DD657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caps w:val="0"/>
          <w:smallCaps w:val="0"/>
          <w:color w:val="auto"/>
          <w:highlight w:val="none"/>
          <w:lang w:eastAsia="zh-CN"/>
        </w:rPr>
      </w:pPr>
      <w:r>
        <w:rPr>
          <w:rFonts w:hint="eastAsia" w:ascii="Times New Roman" w:hAnsi="Times New Roman" w:eastAsia="仿宋" w:cs="仿宋"/>
          <w:b/>
          <w:caps w:val="0"/>
          <w:smallCaps w:val="0"/>
          <w:color w:val="auto"/>
          <w:sz w:val="24"/>
          <w:highlight w:val="none"/>
        </w:rPr>
        <w:t>表</w:t>
      </w:r>
      <w:r>
        <w:rPr>
          <w:rFonts w:hint="eastAsia" w:eastAsia="仿宋" w:cs="仿宋"/>
          <w:b/>
          <w:caps w:val="0"/>
          <w:smallCaps w:val="0"/>
          <w:color w:val="auto"/>
          <w:sz w:val="24"/>
          <w:highlight w:val="none"/>
          <w:lang w:val="en-US" w:eastAsia="zh-CN"/>
        </w:rPr>
        <w:t>2-21</w:t>
      </w:r>
      <w:r>
        <w:rPr>
          <w:rFonts w:hint="eastAsia" w:ascii="Times New Roman" w:hAnsi="Times New Roman" w:eastAsia="仿宋" w:cs="仿宋"/>
          <w:b/>
          <w:caps w:val="0"/>
          <w:smallCaps w:val="0"/>
          <w:color w:val="auto"/>
          <w:sz w:val="24"/>
          <w:highlight w:val="none"/>
        </w:rPr>
        <w:t xml:space="preserve"> </w:t>
      </w:r>
      <w:r>
        <w:rPr>
          <w:rFonts w:hint="eastAsia" w:ascii="Times New Roman" w:hAnsi="Times New Roman" w:eastAsia="仿宋" w:cs="仿宋"/>
          <w:b/>
          <w:caps w:val="0"/>
          <w:smallCaps w:val="0"/>
          <w:color w:val="auto"/>
          <w:sz w:val="24"/>
          <w:highlight w:val="none"/>
          <w:lang w:val="en-US" w:eastAsia="zh-CN"/>
        </w:rPr>
        <w:t>Ⅱ</w:t>
      </w:r>
      <w:r>
        <w:rPr>
          <w:rFonts w:hint="eastAsia" w:ascii="Times New Roman" w:hAnsi="Times New Roman" w:eastAsia="仿宋" w:cs="仿宋"/>
          <w:b/>
          <w:caps w:val="0"/>
          <w:smallCaps w:val="0"/>
          <w:color w:val="auto"/>
          <w:sz w:val="22"/>
          <w:szCs w:val="24"/>
          <w:highlight w:val="none"/>
        </w:rPr>
        <w:t>级</w:t>
      </w:r>
      <w:r>
        <w:rPr>
          <w:rFonts w:hint="eastAsia" w:ascii="Times New Roman" w:hAnsi="Times New Roman" w:eastAsia="仿宋" w:cs="仿宋"/>
          <w:b/>
          <w:caps w:val="0"/>
          <w:smallCaps w:val="0"/>
          <w:color w:val="auto"/>
          <w:sz w:val="24"/>
          <w:highlight w:val="none"/>
          <w:lang w:val="en-US" w:eastAsia="zh-CN"/>
        </w:rPr>
        <w:t>公用设施用地</w:t>
      </w:r>
      <w:r>
        <w:rPr>
          <w:rFonts w:hint="eastAsia" w:ascii="Times New Roman" w:hAnsi="Times New Roman" w:eastAsia="仿宋" w:cs="仿宋"/>
          <w:b/>
          <w:caps w:val="0"/>
          <w:smallCaps w:val="0"/>
          <w:color w:val="auto"/>
          <w:sz w:val="24"/>
          <w:highlight w:val="none"/>
          <w:lang w:eastAsia="zh-CN"/>
        </w:rPr>
        <w:t>地价影响因素指标说明表</w:t>
      </w:r>
    </w:p>
    <w:tbl>
      <w:tblPr>
        <w:tblStyle w:val="14"/>
        <w:tblW w:w="5000" w:type="pct"/>
        <w:jc w:val="center"/>
        <w:tblLayout w:type="fixed"/>
        <w:tblCellMar>
          <w:top w:w="0" w:type="dxa"/>
          <w:left w:w="108" w:type="dxa"/>
          <w:bottom w:w="0" w:type="dxa"/>
          <w:right w:w="108" w:type="dxa"/>
        </w:tblCellMar>
      </w:tblPr>
      <w:tblGrid>
        <w:gridCol w:w="521"/>
        <w:gridCol w:w="1785"/>
        <w:gridCol w:w="1380"/>
        <w:gridCol w:w="1258"/>
        <w:gridCol w:w="1364"/>
        <w:gridCol w:w="1195"/>
        <w:gridCol w:w="1217"/>
      </w:tblGrid>
      <w:tr w14:paraId="6EEC4D38">
        <w:tblPrEx>
          <w:tblCellMar>
            <w:top w:w="0" w:type="dxa"/>
            <w:left w:w="108" w:type="dxa"/>
            <w:bottom w:w="0" w:type="dxa"/>
            <w:right w:w="108" w:type="dxa"/>
          </w:tblCellMar>
        </w:tblPrEx>
        <w:trPr>
          <w:trHeight w:val="283" w:hRule="atLeast"/>
          <w:jc w:val="center"/>
        </w:trPr>
        <w:tc>
          <w:tcPr>
            <w:tcW w:w="2307" w:type="dxa"/>
            <w:gridSpan w:val="2"/>
            <w:tcBorders>
              <w:top w:val="single" w:color="auto" w:sz="4" w:space="0"/>
              <w:left w:val="single" w:color="auto" w:sz="4" w:space="0"/>
              <w:bottom w:val="single" w:color="auto" w:sz="4" w:space="0"/>
              <w:right w:val="single" w:color="auto" w:sz="4" w:space="0"/>
            </w:tcBorders>
            <w:noWrap w:val="0"/>
            <w:vAlign w:val="center"/>
          </w:tcPr>
          <w:p w14:paraId="29CA7CA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影响因素</w:t>
            </w:r>
          </w:p>
        </w:tc>
        <w:tc>
          <w:tcPr>
            <w:tcW w:w="1380" w:type="dxa"/>
            <w:tcBorders>
              <w:top w:val="single" w:color="auto" w:sz="4" w:space="0"/>
              <w:left w:val="nil"/>
              <w:bottom w:val="single" w:color="auto" w:sz="4" w:space="0"/>
              <w:right w:val="single" w:color="auto" w:sz="4" w:space="0"/>
            </w:tcBorders>
            <w:noWrap w:val="0"/>
            <w:vAlign w:val="center"/>
          </w:tcPr>
          <w:p w14:paraId="43EDFBE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1258" w:type="dxa"/>
            <w:tcBorders>
              <w:top w:val="single" w:color="auto" w:sz="4" w:space="0"/>
              <w:left w:val="nil"/>
              <w:bottom w:val="single" w:color="auto" w:sz="4" w:space="0"/>
              <w:right w:val="single" w:color="auto" w:sz="4" w:space="0"/>
            </w:tcBorders>
            <w:noWrap w:val="0"/>
            <w:vAlign w:val="center"/>
          </w:tcPr>
          <w:p w14:paraId="7CA638E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1364" w:type="dxa"/>
            <w:tcBorders>
              <w:top w:val="single" w:color="auto" w:sz="4" w:space="0"/>
              <w:left w:val="nil"/>
              <w:bottom w:val="single" w:color="auto" w:sz="4" w:space="0"/>
              <w:right w:val="single" w:color="auto" w:sz="4" w:space="0"/>
            </w:tcBorders>
            <w:noWrap w:val="0"/>
            <w:vAlign w:val="center"/>
          </w:tcPr>
          <w:p w14:paraId="18A0CA1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1195" w:type="dxa"/>
            <w:tcBorders>
              <w:top w:val="single" w:color="auto" w:sz="4" w:space="0"/>
              <w:left w:val="nil"/>
              <w:bottom w:val="single" w:color="auto" w:sz="4" w:space="0"/>
              <w:right w:val="single" w:color="auto" w:sz="4" w:space="0"/>
            </w:tcBorders>
            <w:noWrap w:val="0"/>
            <w:vAlign w:val="center"/>
          </w:tcPr>
          <w:p w14:paraId="0DAC338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1217" w:type="dxa"/>
            <w:tcBorders>
              <w:top w:val="single" w:color="auto" w:sz="4" w:space="0"/>
              <w:left w:val="nil"/>
              <w:bottom w:val="single" w:color="auto" w:sz="4" w:space="0"/>
              <w:right w:val="single" w:color="auto" w:sz="4" w:space="0"/>
            </w:tcBorders>
            <w:noWrap w:val="0"/>
            <w:vAlign w:val="center"/>
          </w:tcPr>
          <w:p w14:paraId="5ED46A1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703A6331">
        <w:tblPrEx>
          <w:tblCellMar>
            <w:top w:w="0" w:type="dxa"/>
            <w:left w:w="108" w:type="dxa"/>
            <w:bottom w:w="0" w:type="dxa"/>
            <w:right w:w="108" w:type="dxa"/>
          </w:tblCellMar>
        </w:tblPrEx>
        <w:trPr>
          <w:trHeight w:val="283" w:hRule="atLeast"/>
          <w:jc w:val="center"/>
        </w:trPr>
        <w:tc>
          <w:tcPr>
            <w:tcW w:w="521" w:type="dxa"/>
            <w:vMerge w:val="restart"/>
            <w:tcBorders>
              <w:top w:val="nil"/>
              <w:left w:val="single" w:color="auto" w:sz="4" w:space="0"/>
              <w:right w:val="single" w:color="auto" w:sz="4" w:space="0"/>
            </w:tcBorders>
            <w:noWrap w:val="0"/>
            <w:vAlign w:val="center"/>
          </w:tcPr>
          <w:p w14:paraId="1A47A2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w:t>
            </w:r>
          </w:p>
          <w:p w14:paraId="4CF057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1786" w:type="dxa"/>
            <w:tcBorders>
              <w:top w:val="nil"/>
              <w:left w:val="nil"/>
              <w:bottom w:val="single" w:color="auto" w:sz="4" w:space="0"/>
              <w:right w:val="single" w:color="auto" w:sz="4" w:space="0"/>
            </w:tcBorders>
            <w:noWrap w:val="0"/>
            <w:vAlign w:val="center"/>
          </w:tcPr>
          <w:p w14:paraId="427EC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道路通达度</w:t>
            </w:r>
          </w:p>
        </w:tc>
        <w:tc>
          <w:tcPr>
            <w:tcW w:w="1380" w:type="dxa"/>
            <w:tcBorders>
              <w:top w:val="nil"/>
              <w:left w:val="nil"/>
              <w:bottom w:val="single" w:color="auto" w:sz="4" w:space="0"/>
              <w:right w:val="single" w:color="auto" w:sz="4" w:space="0"/>
            </w:tcBorders>
            <w:noWrap w:val="0"/>
            <w:vAlign w:val="center"/>
          </w:tcPr>
          <w:p w14:paraId="3B7FF5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区域内有主、次干道通过，道路通达度好</w:t>
            </w:r>
          </w:p>
        </w:tc>
        <w:tc>
          <w:tcPr>
            <w:tcW w:w="1258" w:type="dxa"/>
            <w:tcBorders>
              <w:top w:val="nil"/>
              <w:left w:val="nil"/>
              <w:bottom w:val="single" w:color="auto" w:sz="4" w:space="0"/>
              <w:right w:val="single" w:color="auto" w:sz="4" w:space="0"/>
            </w:tcBorders>
            <w:noWrap w:val="0"/>
            <w:vAlign w:val="center"/>
          </w:tcPr>
          <w:p w14:paraId="4B32F2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区域内有主干道通过，道路通达度较好</w:t>
            </w:r>
          </w:p>
        </w:tc>
        <w:tc>
          <w:tcPr>
            <w:tcW w:w="1364" w:type="dxa"/>
            <w:tcBorders>
              <w:top w:val="nil"/>
              <w:left w:val="nil"/>
              <w:bottom w:val="single" w:color="auto" w:sz="4" w:space="0"/>
              <w:right w:val="single" w:color="auto" w:sz="4" w:space="0"/>
            </w:tcBorders>
            <w:noWrap w:val="0"/>
            <w:vAlign w:val="center"/>
          </w:tcPr>
          <w:p w14:paraId="645BD3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区域内有次干道通过，道路通达性一般</w:t>
            </w:r>
          </w:p>
        </w:tc>
        <w:tc>
          <w:tcPr>
            <w:tcW w:w="1195" w:type="dxa"/>
            <w:tcBorders>
              <w:top w:val="nil"/>
              <w:left w:val="nil"/>
              <w:bottom w:val="single" w:color="auto" w:sz="4" w:space="0"/>
              <w:right w:val="single" w:color="auto" w:sz="4" w:space="0"/>
            </w:tcBorders>
            <w:noWrap w:val="0"/>
            <w:vAlign w:val="center"/>
          </w:tcPr>
          <w:p w14:paraId="3A7F32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区域内有支路通过，道路通达性较差</w:t>
            </w:r>
          </w:p>
        </w:tc>
        <w:tc>
          <w:tcPr>
            <w:tcW w:w="1217" w:type="dxa"/>
            <w:tcBorders>
              <w:top w:val="nil"/>
              <w:left w:val="nil"/>
              <w:bottom w:val="single" w:color="auto" w:sz="4" w:space="0"/>
              <w:right w:val="single" w:color="auto" w:sz="4" w:space="0"/>
            </w:tcBorders>
            <w:noWrap w:val="0"/>
            <w:vAlign w:val="center"/>
          </w:tcPr>
          <w:p w14:paraId="4DA070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区域内以巷道为主，道路通达性差</w:t>
            </w:r>
          </w:p>
        </w:tc>
      </w:tr>
      <w:tr w14:paraId="4CCBA4AC">
        <w:tblPrEx>
          <w:tblCellMar>
            <w:top w:w="0" w:type="dxa"/>
            <w:left w:w="108" w:type="dxa"/>
            <w:bottom w:w="0" w:type="dxa"/>
            <w:right w:w="108" w:type="dxa"/>
          </w:tblCellMar>
        </w:tblPrEx>
        <w:trPr>
          <w:trHeight w:val="283" w:hRule="atLeast"/>
          <w:jc w:val="center"/>
        </w:trPr>
        <w:tc>
          <w:tcPr>
            <w:tcW w:w="521" w:type="dxa"/>
            <w:vMerge w:val="continue"/>
            <w:tcBorders>
              <w:left w:val="single" w:color="auto" w:sz="4" w:space="0"/>
              <w:right w:val="single" w:color="auto" w:sz="4" w:space="0"/>
            </w:tcBorders>
            <w:noWrap w:val="0"/>
            <w:vAlign w:val="center"/>
          </w:tcPr>
          <w:p w14:paraId="6838B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786" w:type="dxa"/>
            <w:tcBorders>
              <w:top w:val="nil"/>
              <w:left w:val="nil"/>
              <w:bottom w:val="single" w:color="auto" w:sz="4" w:space="0"/>
              <w:right w:val="single" w:color="auto" w:sz="4" w:space="0"/>
            </w:tcBorders>
            <w:noWrap w:val="0"/>
            <w:vAlign w:val="center"/>
          </w:tcPr>
          <w:p w14:paraId="342AF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交通便捷度</w:t>
            </w:r>
          </w:p>
        </w:tc>
        <w:tc>
          <w:tcPr>
            <w:tcW w:w="1380" w:type="dxa"/>
            <w:tcBorders>
              <w:top w:val="nil"/>
              <w:left w:val="nil"/>
              <w:bottom w:val="single" w:color="auto" w:sz="4" w:space="0"/>
              <w:right w:val="single" w:color="auto" w:sz="4" w:space="0"/>
            </w:tcBorders>
            <w:noWrap w:val="0"/>
            <w:vAlign w:val="center"/>
          </w:tcPr>
          <w:p w14:paraId="15373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道路通达性好，交通便利</w:t>
            </w:r>
          </w:p>
        </w:tc>
        <w:tc>
          <w:tcPr>
            <w:tcW w:w="1258" w:type="dxa"/>
            <w:tcBorders>
              <w:top w:val="nil"/>
              <w:left w:val="nil"/>
              <w:bottom w:val="single" w:color="auto" w:sz="4" w:space="0"/>
              <w:right w:val="single" w:color="auto" w:sz="4" w:space="0"/>
            </w:tcBorders>
            <w:noWrap w:val="0"/>
            <w:vAlign w:val="center"/>
          </w:tcPr>
          <w:p w14:paraId="44916C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道路通达性较好，交通较便利</w:t>
            </w:r>
          </w:p>
        </w:tc>
        <w:tc>
          <w:tcPr>
            <w:tcW w:w="1364" w:type="dxa"/>
            <w:tcBorders>
              <w:top w:val="nil"/>
              <w:left w:val="nil"/>
              <w:bottom w:val="single" w:color="auto" w:sz="4" w:space="0"/>
              <w:right w:val="single" w:color="auto" w:sz="4" w:space="0"/>
            </w:tcBorders>
            <w:noWrap w:val="0"/>
            <w:vAlign w:val="center"/>
          </w:tcPr>
          <w:p w14:paraId="093CC1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道路通达性一般</w:t>
            </w:r>
          </w:p>
        </w:tc>
        <w:tc>
          <w:tcPr>
            <w:tcW w:w="1195" w:type="dxa"/>
            <w:tcBorders>
              <w:top w:val="nil"/>
              <w:left w:val="nil"/>
              <w:bottom w:val="single" w:color="auto" w:sz="4" w:space="0"/>
              <w:right w:val="single" w:color="auto" w:sz="4" w:space="0"/>
            </w:tcBorders>
            <w:noWrap w:val="0"/>
            <w:vAlign w:val="center"/>
          </w:tcPr>
          <w:p w14:paraId="077B45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道路通达性较差</w:t>
            </w:r>
          </w:p>
        </w:tc>
        <w:tc>
          <w:tcPr>
            <w:tcW w:w="1217" w:type="dxa"/>
            <w:tcBorders>
              <w:top w:val="nil"/>
              <w:left w:val="nil"/>
              <w:bottom w:val="single" w:color="auto" w:sz="4" w:space="0"/>
              <w:right w:val="single" w:color="auto" w:sz="4" w:space="0"/>
            </w:tcBorders>
            <w:noWrap w:val="0"/>
            <w:vAlign w:val="center"/>
          </w:tcPr>
          <w:p w14:paraId="1A100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道路通达性差</w:t>
            </w:r>
          </w:p>
        </w:tc>
      </w:tr>
      <w:tr w14:paraId="4C2FC7CF">
        <w:tblPrEx>
          <w:tblCellMar>
            <w:top w:w="0" w:type="dxa"/>
            <w:left w:w="108" w:type="dxa"/>
            <w:bottom w:w="0" w:type="dxa"/>
            <w:right w:w="108" w:type="dxa"/>
          </w:tblCellMar>
        </w:tblPrEx>
        <w:trPr>
          <w:trHeight w:val="283" w:hRule="atLeast"/>
          <w:jc w:val="center"/>
        </w:trPr>
        <w:tc>
          <w:tcPr>
            <w:tcW w:w="521" w:type="dxa"/>
            <w:vMerge w:val="continue"/>
            <w:tcBorders>
              <w:left w:val="single" w:color="auto" w:sz="4" w:space="0"/>
              <w:right w:val="single" w:color="auto" w:sz="4" w:space="0"/>
            </w:tcBorders>
            <w:noWrap w:val="0"/>
            <w:vAlign w:val="center"/>
          </w:tcPr>
          <w:p w14:paraId="19AC5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786" w:type="dxa"/>
            <w:tcBorders>
              <w:top w:val="nil"/>
              <w:left w:val="nil"/>
              <w:bottom w:val="single" w:color="auto" w:sz="4" w:space="0"/>
              <w:right w:val="single" w:color="auto" w:sz="4" w:space="0"/>
            </w:tcBorders>
            <w:noWrap w:val="0"/>
            <w:vAlign w:val="center"/>
          </w:tcPr>
          <w:p w14:paraId="79E2F2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lang w:val="en-US" w:eastAsia="zh-CN"/>
              </w:rPr>
              <w:t>货运站</w:t>
            </w:r>
            <w:r>
              <w:rPr>
                <w:rFonts w:hint="default" w:ascii="Times New Roman" w:hAnsi="Times New Roman" w:eastAsia="仿宋" w:cs="仿宋"/>
                <w:b w:val="0"/>
                <w:bCs w:val="0"/>
                <w:caps w:val="0"/>
                <w:smallCaps w:val="0"/>
                <w:color w:val="auto"/>
                <w:sz w:val="21"/>
                <w:szCs w:val="21"/>
                <w:highlight w:val="none"/>
                <w:lang w:val="en-US" w:eastAsia="zh-CN"/>
              </w:rPr>
              <w:t>/</w:t>
            </w:r>
            <w:r>
              <w:rPr>
                <w:rFonts w:hint="eastAsia" w:ascii="Times New Roman" w:hAnsi="Times New Roman" w:eastAsia="仿宋" w:cs="仿宋"/>
                <w:b w:val="0"/>
                <w:bCs w:val="0"/>
                <w:caps w:val="0"/>
                <w:smallCaps w:val="0"/>
                <w:color w:val="auto"/>
                <w:sz w:val="21"/>
                <w:szCs w:val="21"/>
                <w:highlight w:val="none"/>
                <w:lang w:val="en-US" w:eastAsia="zh-CN"/>
              </w:rPr>
              <w:t>物流园区</w:t>
            </w:r>
          </w:p>
        </w:tc>
        <w:tc>
          <w:tcPr>
            <w:tcW w:w="1380" w:type="dxa"/>
            <w:tcBorders>
              <w:top w:val="nil"/>
              <w:left w:val="nil"/>
              <w:bottom w:val="single" w:color="auto" w:sz="4" w:space="0"/>
              <w:right w:val="single" w:color="auto" w:sz="4" w:space="0"/>
            </w:tcBorders>
            <w:shd w:val="clear" w:color="auto" w:fill="auto"/>
            <w:noWrap w:val="0"/>
            <w:vAlign w:val="center"/>
          </w:tcPr>
          <w:p w14:paraId="719D6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900</w:t>
            </w:r>
          </w:p>
        </w:tc>
        <w:tc>
          <w:tcPr>
            <w:tcW w:w="1258" w:type="dxa"/>
            <w:tcBorders>
              <w:top w:val="nil"/>
              <w:left w:val="nil"/>
              <w:bottom w:val="single" w:color="auto" w:sz="4" w:space="0"/>
              <w:right w:val="single" w:color="auto" w:sz="4" w:space="0"/>
            </w:tcBorders>
            <w:shd w:val="clear" w:color="auto" w:fill="auto"/>
            <w:noWrap w:val="0"/>
            <w:vAlign w:val="center"/>
          </w:tcPr>
          <w:p w14:paraId="7635A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900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1300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364" w:type="dxa"/>
            <w:tcBorders>
              <w:top w:val="nil"/>
              <w:left w:val="nil"/>
              <w:bottom w:val="single" w:color="auto" w:sz="4" w:space="0"/>
              <w:right w:val="single" w:color="auto" w:sz="4" w:space="0"/>
            </w:tcBorders>
            <w:shd w:val="clear" w:color="auto" w:fill="auto"/>
            <w:noWrap w:val="0"/>
            <w:vAlign w:val="center"/>
          </w:tcPr>
          <w:p w14:paraId="10F677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1300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1700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195" w:type="dxa"/>
            <w:tcBorders>
              <w:top w:val="nil"/>
              <w:left w:val="nil"/>
              <w:bottom w:val="single" w:color="auto" w:sz="4" w:space="0"/>
              <w:right w:val="single" w:color="auto" w:sz="4" w:space="0"/>
            </w:tcBorders>
            <w:shd w:val="clear" w:color="auto" w:fill="auto"/>
            <w:noWrap w:val="0"/>
            <w:vAlign w:val="center"/>
          </w:tcPr>
          <w:p w14:paraId="520018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1700</w:t>
            </w:r>
            <w:r>
              <w:rPr>
                <w:rFonts w:hint="eastAsia" w:ascii="Times New Roman" w:hAnsi="Times New Roman" w:eastAsia="仿宋" w:cs="仿宋"/>
                <w:b w:val="0"/>
                <w:bCs w:val="0"/>
                <w:caps w:val="0"/>
                <w:smallCaps w:val="0"/>
                <w:color w:val="auto"/>
                <w:sz w:val="21"/>
                <w:szCs w:val="21"/>
                <w:highlight w:val="none"/>
                <w:lang w:val="en-US" w:eastAsia="zh-CN"/>
              </w:rPr>
              <w:t>—</w:t>
            </w:r>
            <w:r>
              <w:rPr>
                <w:rFonts w:hint="default" w:ascii="Times New Roman" w:hAnsi="Times New Roman" w:eastAsia="仿宋" w:cs="仿宋"/>
                <w:b w:val="0"/>
                <w:bCs w:val="0"/>
                <w:caps w:val="0"/>
                <w:smallCaps w:val="0"/>
                <w:color w:val="auto"/>
                <w:sz w:val="21"/>
                <w:szCs w:val="21"/>
                <w:highlight w:val="none"/>
                <w:lang w:val="en-US" w:eastAsia="zh-CN"/>
              </w:rPr>
              <w:t>2500</w:t>
            </w:r>
            <w:r>
              <w:rPr>
                <w:rFonts w:hint="eastAsia" w:ascii="Times New Roman" w:hAnsi="Times New Roman" w:eastAsia="仿宋" w:cs="仿宋"/>
                <w:b w:val="0"/>
                <w:bCs w:val="0"/>
                <w:caps w:val="0"/>
                <w:smallCaps w:val="0"/>
                <w:color w:val="auto"/>
                <w:sz w:val="21"/>
                <w:szCs w:val="21"/>
                <w:highlight w:val="none"/>
                <w:lang w:val="en-US" w:eastAsia="zh-CN"/>
              </w:rPr>
              <w:t>]</w:t>
            </w:r>
          </w:p>
        </w:tc>
        <w:tc>
          <w:tcPr>
            <w:tcW w:w="1217" w:type="dxa"/>
            <w:tcBorders>
              <w:top w:val="nil"/>
              <w:left w:val="nil"/>
              <w:bottom w:val="single" w:color="auto" w:sz="4" w:space="0"/>
              <w:right w:val="single" w:color="auto" w:sz="4" w:space="0"/>
            </w:tcBorders>
            <w:shd w:val="clear" w:color="auto" w:fill="auto"/>
            <w:noWrap w:val="0"/>
            <w:vAlign w:val="center"/>
          </w:tcPr>
          <w:p w14:paraId="5CCC5C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&gt;</w:t>
            </w:r>
            <w:r>
              <w:rPr>
                <w:rFonts w:hint="default" w:ascii="Times New Roman" w:hAnsi="Times New Roman" w:eastAsia="仿宋" w:cs="仿宋"/>
                <w:b w:val="0"/>
                <w:bCs w:val="0"/>
                <w:caps w:val="0"/>
                <w:smallCaps w:val="0"/>
                <w:color w:val="auto"/>
                <w:sz w:val="21"/>
                <w:szCs w:val="21"/>
                <w:highlight w:val="none"/>
                <w:lang w:val="en-US" w:eastAsia="zh-CN"/>
              </w:rPr>
              <w:t>2500</w:t>
            </w:r>
          </w:p>
        </w:tc>
      </w:tr>
      <w:tr w14:paraId="719C698F">
        <w:tblPrEx>
          <w:tblCellMar>
            <w:top w:w="0" w:type="dxa"/>
            <w:left w:w="108" w:type="dxa"/>
            <w:bottom w:w="0" w:type="dxa"/>
            <w:right w:w="108" w:type="dxa"/>
          </w:tblCellMar>
        </w:tblPrEx>
        <w:trPr>
          <w:trHeight w:val="283" w:hRule="atLeast"/>
          <w:jc w:val="center"/>
        </w:trPr>
        <w:tc>
          <w:tcPr>
            <w:tcW w:w="521" w:type="dxa"/>
            <w:vMerge w:val="continue"/>
            <w:tcBorders>
              <w:left w:val="single" w:color="auto" w:sz="4" w:space="0"/>
              <w:right w:val="single" w:color="auto" w:sz="4" w:space="0"/>
            </w:tcBorders>
            <w:noWrap w:val="0"/>
            <w:vAlign w:val="center"/>
          </w:tcPr>
          <w:p w14:paraId="54A739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786" w:type="dxa"/>
            <w:tcBorders>
              <w:top w:val="nil"/>
              <w:left w:val="nil"/>
              <w:bottom w:val="single" w:color="auto" w:sz="4" w:space="0"/>
              <w:right w:val="single" w:color="auto" w:sz="4" w:space="0"/>
            </w:tcBorders>
            <w:noWrap w:val="0"/>
            <w:vAlign w:val="center"/>
          </w:tcPr>
          <w:p w14:paraId="0922F2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w:t>
            </w:r>
          </w:p>
        </w:tc>
        <w:tc>
          <w:tcPr>
            <w:tcW w:w="1380" w:type="dxa"/>
            <w:tcBorders>
              <w:top w:val="nil"/>
              <w:left w:val="nil"/>
              <w:bottom w:val="single" w:color="auto" w:sz="4" w:space="0"/>
              <w:right w:val="single" w:color="auto" w:sz="4" w:space="0"/>
            </w:tcBorders>
            <w:noWrap w:val="0"/>
            <w:vAlign w:val="center"/>
          </w:tcPr>
          <w:p w14:paraId="2DE67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供水管道密集，设施完善</w:t>
            </w:r>
          </w:p>
        </w:tc>
        <w:tc>
          <w:tcPr>
            <w:tcW w:w="1258" w:type="dxa"/>
            <w:tcBorders>
              <w:top w:val="nil"/>
              <w:left w:val="nil"/>
              <w:bottom w:val="single" w:color="auto" w:sz="4" w:space="0"/>
              <w:right w:val="single" w:color="auto" w:sz="4" w:space="0"/>
            </w:tcBorders>
            <w:noWrap w:val="0"/>
            <w:vAlign w:val="center"/>
          </w:tcPr>
          <w:p w14:paraId="74831F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供水管道较密集，设施较完善</w:t>
            </w:r>
          </w:p>
        </w:tc>
        <w:tc>
          <w:tcPr>
            <w:tcW w:w="1364" w:type="dxa"/>
            <w:tcBorders>
              <w:top w:val="nil"/>
              <w:left w:val="nil"/>
              <w:bottom w:val="single" w:color="auto" w:sz="4" w:space="0"/>
              <w:right w:val="single" w:color="auto" w:sz="4" w:space="0"/>
            </w:tcBorders>
            <w:noWrap w:val="0"/>
            <w:vAlign w:val="center"/>
          </w:tcPr>
          <w:p w14:paraId="5AC68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供水管道均匀，基本配套设施</w:t>
            </w:r>
          </w:p>
        </w:tc>
        <w:tc>
          <w:tcPr>
            <w:tcW w:w="1195" w:type="dxa"/>
            <w:tcBorders>
              <w:top w:val="nil"/>
              <w:left w:val="nil"/>
              <w:bottom w:val="single" w:color="auto" w:sz="4" w:space="0"/>
              <w:right w:val="single" w:color="auto" w:sz="4" w:space="0"/>
            </w:tcBorders>
            <w:noWrap w:val="0"/>
            <w:vAlign w:val="center"/>
          </w:tcPr>
          <w:p w14:paraId="5FDA58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供水管道稀疏，有少数配套设施</w:t>
            </w:r>
          </w:p>
        </w:tc>
        <w:tc>
          <w:tcPr>
            <w:tcW w:w="1217" w:type="dxa"/>
            <w:tcBorders>
              <w:top w:val="nil"/>
              <w:left w:val="nil"/>
              <w:bottom w:val="single" w:color="auto" w:sz="4" w:space="0"/>
              <w:right w:val="single" w:color="auto" w:sz="4" w:space="0"/>
            </w:tcBorders>
            <w:noWrap w:val="0"/>
            <w:vAlign w:val="center"/>
          </w:tcPr>
          <w:p w14:paraId="71BD1A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无集中供水</w:t>
            </w:r>
          </w:p>
        </w:tc>
      </w:tr>
      <w:tr w14:paraId="1A22A0A5">
        <w:tblPrEx>
          <w:tblCellMar>
            <w:top w:w="0" w:type="dxa"/>
            <w:left w:w="108" w:type="dxa"/>
            <w:bottom w:w="0" w:type="dxa"/>
            <w:right w:w="108" w:type="dxa"/>
          </w:tblCellMar>
        </w:tblPrEx>
        <w:trPr>
          <w:trHeight w:val="283" w:hRule="atLeast"/>
          <w:jc w:val="center"/>
        </w:trPr>
        <w:tc>
          <w:tcPr>
            <w:tcW w:w="521" w:type="dxa"/>
            <w:vMerge w:val="continue"/>
            <w:tcBorders>
              <w:left w:val="single" w:color="auto" w:sz="4" w:space="0"/>
              <w:bottom w:val="single" w:color="auto" w:sz="4" w:space="0"/>
              <w:right w:val="single" w:color="auto" w:sz="4" w:space="0"/>
            </w:tcBorders>
            <w:noWrap w:val="0"/>
            <w:vAlign w:val="center"/>
          </w:tcPr>
          <w:p w14:paraId="7E6ABB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p>
        </w:tc>
        <w:tc>
          <w:tcPr>
            <w:tcW w:w="1786" w:type="dxa"/>
            <w:tcBorders>
              <w:top w:val="nil"/>
              <w:left w:val="nil"/>
              <w:bottom w:val="single" w:color="auto" w:sz="4" w:space="0"/>
              <w:right w:val="single" w:color="auto" w:sz="4" w:space="0"/>
            </w:tcBorders>
            <w:noWrap w:val="0"/>
            <w:vAlign w:val="center"/>
          </w:tcPr>
          <w:p w14:paraId="0C7257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1380" w:type="dxa"/>
            <w:tcBorders>
              <w:top w:val="nil"/>
              <w:left w:val="nil"/>
              <w:bottom w:val="single" w:color="auto" w:sz="4" w:space="0"/>
              <w:right w:val="single" w:color="auto" w:sz="4" w:space="0"/>
            </w:tcBorders>
            <w:shd w:val="clear" w:color="auto" w:fill="auto"/>
            <w:noWrap w:val="0"/>
            <w:vAlign w:val="center"/>
          </w:tcPr>
          <w:p w14:paraId="257DBCB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有雨排和污排且通畅</w:t>
            </w:r>
          </w:p>
        </w:tc>
        <w:tc>
          <w:tcPr>
            <w:tcW w:w="1258" w:type="dxa"/>
            <w:tcBorders>
              <w:top w:val="nil"/>
              <w:left w:val="nil"/>
              <w:bottom w:val="single" w:color="auto" w:sz="4" w:space="0"/>
              <w:right w:val="single" w:color="auto" w:sz="4" w:space="0"/>
            </w:tcBorders>
            <w:shd w:val="clear" w:color="auto" w:fill="auto"/>
            <w:noWrap w:val="0"/>
            <w:vAlign w:val="center"/>
          </w:tcPr>
          <w:p w14:paraId="25CD439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有雨排和污排基本通畅</w:t>
            </w:r>
          </w:p>
        </w:tc>
        <w:tc>
          <w:tcPr>
            <w:tcW w:w="1364" w:type="dxa"/>
            <w:tcBorders>
              <w:top w:val="nil"/>
              <w:left w:val="nil"/>
              <w:bottom w:val="single" w:color="auto" w:sz="4" w:space="0"/>
              <w:right w:val="single" w:color="auto" w:sz="4" w:space="0"/>
            </w:tcBorders>
            <w:shd w:val="clear" w:color="auto" w:fill="auto"/>
            <w:noWrap w:val="0"/>
            <w:vAlign w:val="center"/>
          </w:tcPr>
          <w:p w14:paraId="41F603C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只有污排</w:t>
            </w:r>
          </w:p>
        </w:tc>
        <w:tc>
          <w:tcPr>
            <w:tcW w:w="1195" w:type="dxa"/>
            <w:tcBorders>
              <w:top w:val="nil"/>
              <w:left w:val="nil"/>
              <w:bottom w:val="single" w:color="auto" w:sz="4" w:space="0"/>
              <w:right w:val="single" w:color="auto" w:sz="4" w:space="0"/>
            </w:tcBorders>
            <w:shd w:val="clear" w:color="auto" w:fill="auto"/>
            <w:noWrap w:val="0"/>
            <w:vAlign w:val="center"/>
          </w:tcPr>
          <w:p w14:paraId="0A5386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只有雨排</w:t>
            </w:r>
          </w:p>
        </w:tc>
        <w:tc>
          <w:tcPr>
            <w:tcW w:w="1217" w:type="dxa"/>
            <w:tcBorders>
              <w:top w:val="nil"/>
              <w:left w:val="nil"/>
              <w:bottom w:val="single" w:color="auto" w:sz="4" w:space="0"/>
              <w:right w:val="single" w:color="auto" w:sz="4" w:space="0"/>
            </w:tcBorders>
            <w:shd w:val="clear" w:color="auto" w:fill="auto"/>
            <w:noWrap w:val="0"/>
            <w:vAlign w:val="center"/>
          </w:tcPr>
          <w:p w14:paraId="2E061CE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eastAsia" w:ascii="Times New Roman" w:hAnsi="Times New Roman" w:eastAsia="仿宋" w:cs="仿宋"/>
                <w:b w:val="0"/>
                <w:bCs w:val="0"/>
                <w:caps w:val="0"/>
                <w:smallCaps w:val="0"/>
                <w:color w:val="auto"/>
                <w:kern w:val="2"/>
                <w:sz w:val="21"/>
                <w:szCs w:val="21"/>
                <w:highlight w:val="none"/>
                <w:lang w:val="en-US" w:eastAsia="zh-CN" w:bidi="ar-SA"/>
              </w:rPr>
            </w:pPr>
            <w:r>
              <w:rPr>
                <w:rFonts w:hint="eastAsia" w:ascii="Times New Roman" w:hAnsi="Times New Roman" w:eastAsia="仿宋" w:cs="仿宋"/>
                <w:b w:val="0"/>
                <w:bCs w:val="0"/>
                <w:caps w:val="0"/>
                <w:smallCaps w:val="0"/>
                <w:color w:val="auto"/>
                <w:sz w:val="21"/>
                <w:szCs w:val="21"/>
                <w:highlight w:val="none"/>
              </w:rPr>
              <w:t>无排水系统</w:t>
            </w:r>
          </w:p>
        </w:tc>
      </w:tr>
      <w:tr w14:paraId="392E4709">
        <w:tblPrEx>
          <w:tblCellMar>
            <w:top w:w="0" w:type="dxa"/>
            <w:left w:w="108" w:type="dxa"/>
            <w:bottom w:w="0" w:type="dxa"/>
            <w:right w:w="108" w:type="dxa"/>
          </w:tblCellMar>
        </w:tblPrEx>
        <w:trPr>
          <w:trHeight w:val="283" w:hRule="atLeast"/>
          <w:jc w:val="center"/>
        </w:trPr>
        <w:tc>
          <w:tcPr>
            <w:tcW w:w="521" w:type="dxa"/>
            <w:vMerge w:val="restart"/>
            <w:tcBorders>
              <w:top w:val="nil"/>
              <w:left w:val="single" w:color="auto" w:sz="4" w:space="0"/>
              <w:bottom w:val="single" w:color="auto" w:sz="4" w:space="0"/>
              <w:right w:val="single" w:color="auto" w:sz="4" w:space="0"/>
            </w:tcBorders>
            <w:noWrap w:val="0"/>
            <w:vAlign w:val="center"/>
          </w:tcPr>
          <w:p w14:paraId="1D0CD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个别</w:t>
            </w:r>
          </w:p>
          <w:p w14:paraId="3A1E4E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因素</w:t>
            </w:r>
          </w:p>
        </w:tc>
        <w:tc>
          <w:tcPr>
            <w:tcW w:w="1786" w:type="dxa"/>
            <w:tcBorders>
              <w:top w:val="nil"/>
              <w:left w:val="nil"/>
              <w:bottom w:val="single" w:color="auto" w:sz="4" w:space="0"/>
              <w:right w:val="single" w:color="auto" w:sz="4" w:space="0"/>
            </w:tcBorders>
            <w:noWrap w:val="0"/>
            <w:vAlign w:val="center"/>
          </w:tcPr>
          <w:p w14:paraId="76F43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宗地形状</w:t>
            </w:r>
          </w:p>
        </w:tc>
        <w:tc>
          <w:tcPr>
            <w:tcW w:w="1380" w:type="dxa"/>
            <w:tcBorders>
              <w:top w:val="nil"/>
              <w:left w:val="nil"/>
              <w:bottom w:val="single" w:color="auto" w:sz="4" w:space="0"/>
              <w:right w:val="single" w:color="auto" w:sz="4" w:space="0"/>
            </w:tcBorders>
            <w:noWrap w:val="0"/>
            <w:vAlign w:val="center"/>
          </w:tcPr>
          <w:p w14:paraId="17D794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形状规则极有利于土地利用</w:t>
            </w:r>
          </w:p>
        </w:tc>
        <w:tc>
          <w:tcPr>
            <w:tcW w:w="1258" w:type="dxa"/>
            <w:tcBorders>
              <w:top w:val="nil"/>
              <w:left w:val="nil"/>
              <w:bottom w:val="single" w:color="auto" w:sz="4" w:space="0"/>
              <w:right w:val="single" w:color="auto" w:sz="4" w:space="0"/>
            </w:tcBorders>
            <w:noWrap w:val="0"/>
            <w:vAlign w:val="center"/>
          </w:tcPr>
          <w:p w14:paraId="1D094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形状规则对土地利用较有利</w:t>
            </w:r>
          </w:p>
        </w:tc>
        <w:tc>
          <w:tcPr>
            <w:tcW w:w="1364" w:type="dxa"/>
            <w:tcBorders>
              <w:top w:val="nil"/>
              <w:left w:val="nil"/>
              <w:bottom w:val="single" w:color="auto" w:sz="4" w:space="0"/>
              <w:right w:val="single" w:color="auto" w:sz="4" w:space="0"/>
            </w:tcBorders>
            <w:noWrap w:val="0"/>
            <w:vAlign w:val="center"/>
          </w:tcPr>
          <w:p w14:paraId="4AA60B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形状不规则，对土地利用无不良影响</w:t>
            </w:r>
          </w:p>
        </w:tc>
        <w:tc>
          <w:tcPr>
            <w:tcW w:w="1195" w:type="dxa"/>
            <w:tcBorders>
              <w:top w:val="nil"/>
              <w:left w:val="nil"/>
              <w:bottom w:val="single" w:color="auto" w:sz="4" w:space="0"/>
              <w:right w:val="single" w:color="auto" w:sz="4" w:space="0"/>
            </w:tcBorders>
            <w:noWrap w:val="0"/>
            <w:vAlign w:val="center"/>
          </w:tcPr>
          <w:p w14:paraId="4889B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形状不规则，对土地利用有一定影响</w:t>
            </w:r>
          </w:p>
        </w:tc>
        <w:tc>
          <w:tcPr>
            <w:tcW w:w="1217" w:type="dxa"/>
            <w:tcBorders>
              <w:top w:val="nil"/>
              <w:left w:val="nil"/>
              <w:bottom w:val="single" w:color="auto" w:sz="4" w:space="0"/>
              <w:right w:val="single" w:color="auto" w:sz="4" w:space="0"/>
            </w:tcBorders>
            <w:noWrap w:val="0"/>
            <w:vAlign w:val="center"/>
          </w:tcPr>
          <w:p w14:paraId="16E0DA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形状极不规则，对土地利用影响严重</w:t>
            </w:r>
          </w:p>
        </w:tc>
      </w:tr>
      <w:tr w14:paraId="0992584D">
        <w:tblPrEx>
          <w:tblCellMar>
            <w:top w:w="0" w:type="dxa"/>
            <w:left w:w="108" w:type="dxa"/>
            <w:bottom w:w="0" w:type="dxa"/>
            <w:right w:w="108" w:type="dxa"/>
          </w:tblCellMar>
        </w:tblPrEx>
        <w:trPr>
          <w:trHeight w:val="283"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740DDE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eastAsia="zh-CN"/>
              </w:rPr>
              <w:t>　　</w:t>
            </w:r>
          </w:p>
        </w:tc>
        <w:tc>
          <w:tcPr>
            <w:tcW w:w="1786" w:type="dxa"/>
            <w:tcBorders>
              <w:top w:val="nil"/>
              <w:left w:val="nil"/>
              <w:bottom w:val="single" w:color="auto" w:sz="4" w:space="0"/>
              <w:right w:val="single" w:color="auto" w:sz="4" w:space="0"/>
            </w:tcBorders>
            <w:noWrap w:val="0"/>
            <w:vAlign w:val="center"/>
          </w:tcPr>
          <w:p w14:paraId="64D7D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宗地面积</w:t>
            </w:r>
          </w:p>
        </w:tc>
        <w:tc>
          <w:tcPr>
            <w:tcW w:w="1380" w:type="dxa"/>
            <w:tcBorders>
              <w:top w:val="nil"/>
              <w:left w:val="nil"/>
              <w:bottom w:val="single" w:color="auto" w:sz="4" w:space="0"/>
              <w:right w:val="single" w:color="auto" w:sz="4" w:space="0"/>
            </w:tcBorders>
            <w:noWrap w:val="0"/>
            <w:vAlign w:val="center"/>
          </w:tcPr>
          <w:p w14:paraId="3EF780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面积符合土地利用类型</w:t>
            </w:r>
          </w:p>
        </w:tc>
        <w:tc>
          <w:tcPr>
            <w:tcW w:w="1258" w:type="dxa"/>
            <w:tcBorders>
              <w:top w:val="nil"/>
              <w:left w:val="nil"/>
              <w:bottom w:val="single" w:color="auto" w:sz="4" w:space="0"/>
              <w:right w:val="single" w:color="auto" w:sz="4" w:space="0"/>
            </w:tcBorders>
            <w:noWrap w:val="0"/>
            <w:vAlign w:val="center"/>
          </w:tcPr>
          <w:p w14:paraId="1BAD4D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面积适中，较符合土地利用类型</w:t>
            </w:r>
          </w:p>
        </w:tc>
        <w:tc>
          <w:tcPr>
            <w:tcW w:w="1364" w:type="dxa"/>
            <w:tcBorders>
              <w:top w:val="nil"/>
              <w:left w:val="nil"/>
              <w:bottom w:val="single" w:color="auto" w:sz="4" w:space="0"/>
              <w:right w:val="single" w:color="auto" w:sz="4" w:space="0"/>
            </w:tcBorders>
            <w:noWrap w:val="0"/>
            <w:vAlign w:val="center"/>
          </w:tcPr>
          <w:p w14:paraId="303F38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面积偏大或偏小，对土地利用无不良影响</w:t>
            </w:r>
          </w:p>
        </w:tc>
        <w:tc>
          <w:tcPr>
            <w:tcW w:w="1195" w:type="dxa"/>
            <w:tcBorders>
              <w:top w:val="nil"/>
              <w:left w:val="nil"/>
              <w:bottom w:val="single" w:color="auto" w:sz="4" w:space="0"/>
              <w:right w:val="single" w:color="auto" w:sz="4" w:space="0"/>
            </w:tcBorders>
            <w:noWrap w:val="0"/>
            <w:vAlign w:val="center"/>
          </w:tcPr>
          <w:p w14:paraId="6E0CD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面积偏大或偏小，对土地利用有一定影响</w:t>
            </w:r>
          </w:p>
        </w:tc>
        <w:tc>
          <w:tcPr>
            <w:tcW w:w="1217" w:type="dxa"/>
            <w:tcBorders>
              <w:top w:val="nil"/>
              <w:left w:val="nil"/>
              <w:bottom w:val="single" w:color="auto" w:sz="4" w:space="0"/>
              <w:right w:val="single" w:color="auto" w:sz="4" w:space="0"/>
            </w:tcBorders>
            <w:noWrap w:val="0"/>
            <w:vAlign w:val="center"/>
          </w:tcPr>
          <w:p w14:paraId="75D0B7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面积过大或过小，不符合土地利用类型</w:t>
            </w:r>
          </w:p>
        </w:tc>
      </w:tr>
      <w:tr w14:paraId="5F30D30D">
        <w:tblPrEx>
          <w:tblCellMar>
            <w:top w:w="0" w:type="dxa"/>
            <w:left w:w="108" w:type="dxa"/>
            <w:bottom w:w="0" w:type="dxa"/>
            <w:right w:w="108" w:type="dxa"/>
          </w:tblCellMar>
        </w:tblPrEx>
        <w:trPr>
          <w:trHeight w:val="283" w:hRule="atLeast"/>
          <w:jc w:val="center"/>
        </w:trPr>
        <w:tc>
          <w:tcPr>
            <w:tcW w:w="521" w:type="dxa"/>
            <w:vMerge w:val="continue"/>
            <w:tcBorders>
              <w:top w:val="nil"/>
              <w:left w:val="single" w:color="auto" w:sz="4" w:space="0"/>
              <w:bottom w:val="single" w:color="auto" w:sz="4" w:space="0"/>
              <w:right w:val="single" w:color="auto" w:sz="4" w:space="0"/>
            </w:tcBorders>
            <w:noWrap w:val="0"/>
            <w:vAlign w:val="center"/>
          </w:tcPr>
          <w:p w14:paraId="5B5BF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eastAsia="zh-CN"/>
              </w:rPr>
            </w:pPr>
            <w:r>
              <w:rPr>
                <w:rFonts w:hint="eastAsia" w:ascii="Times New Roman" w:hAnsi="Times New Roman" w:eastAsia="仿宋" w:cs="仿宋"/>
                <w:b w:val="0"/>
                <w:bCs w:val="0"/>
                <w:caps w:val="0"/>
                <w:smallCaps w:val="0"/>
                <w:color w:val="auto"/>
                <w:sz w:val="21"/>
                <w:szCs w:val="21"/>
                <w:highlight w:val="none"/>
                <w:lang w:eastAsia="zh-CN"/>
              </w:rPr>
              <w:t>　　</w:t>
            </w:r>
          </w:p>
        </w:tc>
        <w:tc>
          <w:tcPr>
            <w:tcW w:w="1786" w:type="dxa"/>
            <w:tcBorders>
              <w:top w:val="nil"/>
              <w:left w:val="nil"/>
              <w:bottom w:val="single" w:color="auto" w:sz="4" w:space="0"/>
              <w:right w:val="single" w:color="auto" w:sz="4" w:space="0"/>
            </w:tcBorders>
            <w:noWrap w:val="0"/>
            <w:vAlign w:val="center"/>
          </w:tcPr>
          <w:p w14:paraId="74F524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工程地质</w:t>
            </w:r>
          </w:p>
        </w:tc>
        <w:tc>
          <w:tcPr>
            <w:tcW w:w="1380" w:type="dxa"/>
            <w:tcBorders>
              <w:top w:val="nil"/>
              <w:left w:val="nil"/>
              <w:bottom w:val="single" w:color="auto" w:sz="4" w:space="0"/>
              <w:right w:val="single" w:color="auto" w:sz="4" w:space="0"/>
            </w:tcBorders>
            <w:noWrap w:val="0"/>
            <w:vAlign w:val="center"/>
          </w:tcPr>
          <w:p w14:paraId="10C825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地质承载力强，利于建设</w:t>
            </w:r>
          </w:p>
        </w:tc>
        <w:tc>
          <w:tcPr>
            <w:tcW w:w="1258" w:type="dxa"/>
            <w:tcBorders>
              <w:top w:val="nil"/>
              <w:left w:val="nil"/>
              <w:bottom w:val="single" w:color="auto" w:sz="4" w:space="0"/>
              <w:right w:val="single" w:color="auto" w:sz="4" w:space="0"/>
            </w:tcBorders>
            <w:noWrap w:val="0"/>
            <w:vAlign w:val="center"/>
          </w:tcPr>
          <w:p w14:paraId="157921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地质承载力较强，利于建设</w:t>
            </w:r>
          </w:p>
        </w:tc>
        <w:tc>
          <w:tcPr>
            <w:tcW w:w="1364" w:type="dxa"/>
            <w:tcBorders>
              <w:top w:val="nil"/>
              <w:left w:val="nil"/>
              <w:bottom w:val="single" w:color="auto" w:sz="4" w:space="0"/>
              <w:right w:val="single" w:color="auto" w:sz="4" w:space="0"/>
            </w:tcBorders>
            <w:noWrap w:val="0"/>
            <w:vAlign w:val="center"/>
          </w:tcPr>
          <w:p w14:paraId="0EE77E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无不良地质现象</w:t>
            </w:r>
          </w:p>
        </w:tc>
        <w:tc>
          <w:tcPr>
            <w:tcW w:w="1195" w:type="dxa"/>
            <w:tcBorders>
              <w:top w:val="nil"/>
              <w:left w:val="nil"/>
              <w:bottom w:val="single" w:color="auto" w:sz="4" w:space="0"/>
              <w:right w:val="single" w:color="auto" w:sz="4" w:space="0"/>
            </w:tcBorders>
            <w:noWrap w:val="0"/>
            <w:vAlign w:val="center"/>
          </w:tcPr>
          <w:p w14:paraId="0C8046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有不良地质状况，但无需特殊处理</w:t>
            </w:r>
          </w:p>
        </w:tc>
        <w:tc>
          <w:tcPr>
            <w:tcW w:w="1217" w:type="dxa"/>
            <w:tcBorders>
              <w:top w:val="nil"/>
              <w:left w:val="nil"/>
              <w:bottom w:val="single" w:color="auto" w:sz="4" w:space="0"/>
              <w:right w:val="single" w:color="auto" w:sz="4" w:space="0"/>
            </w:tcBorders>
            <w:noWrap w:val="0"/>
            <w:vAlign w:val="center"/>
          </w:tcPr>
          <w:p w14:paraId="7A158F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rPr>
            </w:pPr>
            <w:r>
              <w:rPr>
                <w:rFonts w:hint="eastAsia" w:ascii="Times New Roman" w:hAnsi="Times New Roman" w:eastAsia="仿宋" w:cs="仿宋"/>
                <w:b w:val="0"/>
                <w:bCs w:val="0"/>
                <w:caps w:val="0"/>
                <w:smallCaps w:val="0"/>
                <w:color w:val="auto"/>
                <w:sz w:val="21"/>
                <w:szCs w:val="21"/>
                <w:highlight w:val="none"/>
              </w:rPr>
              <w:t>有不良地质状况</w:t>
            </w:r>
            <w:r>
              <w:rPr>
                <w:rFonts w:hint="eastAsia" w:ascii="Times New Roman" w:hAnsi="Times New Roman" w:eastAsia="仿宋" w:cs="仿宋"/>
                <w:b w:val="0"/>
                <w:bCs w:val="0"/>
                <w:caps w:val="0"/>
                <w:smallCaps w:val="0"/>
                <w:color w:val="auto"/>
                <w:sz w:val="21"/>
                <w:szCs w:val="21"/>
                <w:highlight w:val="none"/>
                <w:lang w:eastAsia="zh-CN"/>
              </w:rPr>
              <w:t>，</w:t>
            </w:r>
            <w:r>
              <w:rPr>
                <w:rFonts w:hint="eastAsia" w:ascii="Times New Roman" w:hAnsi="Times New Roman" w:eastAsia="仿宋" w:cs="仿宋"/>
                <w:b w:val="0"/>
                <w:bCs w:val="0"/>
                <w:caps w:val="0"/>
                <w:smallCaps w:val="0"/>
                <w:color w:val="auto"/>
                <w:sz w:val="21"/>
                <w:szCs w:val="21"/>
                <w:highlight w:val="none"/>
              </w:rPr>
              <w:t>并需特殊处理</w:t>
            </w:r>
          </w:p>
        </w:tc>
      </w:tr>
    </w:tbl>
    <w:p w14:paraId="2F3E3C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outlineLvl w:val="9"/>
        <w:rPr>
          <w:rFonts w:hint="eastAsia" w:ascii="Times New Roman" w:hAnsi="Times New Roman" w:eastAsia="仿宋" w:cs="仿宋"/>
          <w:b/>
          <w:caps w:val="0"/>
          <w:smallCaps w:val="0"/>
          <w:color w:val="auto"/>
          <w:sz w:val="24"/>
          <w:szCs w:val="24"/>
          <w:highlight w:val="none"/>
          <w:lang w:val="en-US" w:eastAsia="zh-CN"/>
        </w:rPr>
      </w:pPr>
      <w:r>
        <w:rPr>
          <w:rFonts w:hint="eastAsia" w:ascii="Times New Roman" w:hAnsi="Times New Roman" w:eastAsia="仿宋" w:cs="仿宋"/>
          <w:b/>
          <w:caps w:val="0"/>
          <w:smallCaps w:val="0"/>
          <w:color w:val="auto"/>
          <w:sz w:val="24"/>
          <w:szCs w:val="24"/>
          <w:highlight w:val="none"/>
          <w:lang w:val="en-US" w:eastAsia="zh-CN"/>
        </w:rPr>
        <w:br w:type="page"/>
      </w:r>
    </w:p>
    <w:tbl>
      <w:tblPr>
        <w:tblStyle w:val="14"/>
        <w:tblW w:w="520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6"/>
        <w:gridCol w:w="974"/>
        <w:gridCol w:w="1176"/>
        <w:gridCol w:w="1349"/>
        <w:gridCol w:w="1225"/>
        <w:gridCol w:w="1476"/>
        <w:gridCol w:w="1411"/>
      </w:tblGrid>
      <w:tr w14:paraId="06E96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jc w:val="center"/>
        </w:trPr>
        <w:tc>
          <w:tcPr>
            <w:tcW w:w="5000" w:type="pct"/>
            <w:gridSpan w:val="7"/>
            <w:tcBorders>
              <w:top w:val="nil"/>
              <w:left w:val="nil"/>
              <w:bottom w:val="nil"/>
              <w:right w:val="nil"/>
            </w:tcBorders>
            <w:shd w:val="clear" w:color="auto" w:fill="auto"/>
            <w:noWrap/>
            <w:vAlign w:val="center"/>
          </w:tcPr>
          <w:p w14:paraId="308AA6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outlineLvl w:val="9"/>
              <w:rPr>
                <w:rFonts w:hint="eastAsia" w:ascii="Times New Roman" w:hAnsi="Times New Roman" w:eastAsia="仿宋" w:cs="仿宋"/>
                <w:i w:val="0"/>
                <w:iCs w:val="0"/>
                <w:caps w:val="0"/>
                <w:smallCaps w:val="0"/>
                <w:color w:val="auto"/>
                <w:sz w:val="24"/>
                <w:szCs w:val="24"/>
                <w:highlight w:val="none"/>
                <w:u w:val="none"/>
              </w:rPr>
            </w:pPr>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2-22</w:t>
            </w:r>
            <w:r>
              <w:rPr>
                <w:rFonts w:hint="eastAsia" w:ascii="Times New Roman" w:hAnsi="Times New Roman" w:eastAsia="仿宋" w:cs="仿宋"/>
                <w:b/>
                <w:caps w:val="0"/>
                <w:smallCaps w:val="0"/>
                <w:color w:val="auto"/>
                <w:sz w:val="24"/>
                <w:szCs w:val="24"/>
                <w:highlight w:val="none"/>
                <w:lang w:val="en-US" w:eastAsia="zh-CN"/>
              </w:rPr>
              <w:t xml:space="preserve"> Ⅱ</w:t>
            </w:r>
            <w:r>
              <w:rPr>
                <w:rFonts w:hint="eastAsia" w:ascii="Times New Roman" w:hAnsi="Times New Roman" w:eastAsia="仿宋" w:cs="仿宋"/>
                <w:b/>
                <w:caps w:val="0"/>
                <w:smallCaps w:val="0"/>
                <w:color w:val="auto"/>
                <w:sz w:val="24"/>
                <w:szCs w:val="24"/>
                <w:highlight w:val="none"/>
              </w:rPr>
              <w:t>级</w:t>
            </w:r>
            <w:r>
              <w:rPr>
                <w:rFonts w:hint="eastAsia" w:ascii="Times New Roman" w:hAnsi="Times New Roman" w:eastAsia="仿宋" w:cs="仿宋"/>
                <w:b/>
                <w:caps w:val="0"/>
                <w:smallCaps w:val="0"/>
                <w:color w:val="auto"/>
                <w:sz w:val="24"/>
                <w:szCs w:val="24"/>
                <w:highlight w:val="none"/>
                <w:lang w:val="en-US" w:eastAsia="zh-CN"/>
              </w:rPr>
              <w:t>公用设施用地地价影响因素指标说明表</w:t>
            </w:r>
          </w:p>
        </w:tc>
      </w:tr>
      <w:tr w14:paraId="09671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FF3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因子</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F9E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权重值</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02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优</w:t>
            </w:r>
          </w:p>
        </w:tc>
        <w:tc>
          <w:tcPr>
            <w:tcW w:w="7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D6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较优</w:t>
            </w:r>
          </w:p>
        </w:tc>
        <w:tc>
          <w:tcPr>
            <w:tcW w:w="6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7E6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一般</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264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较劣</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B06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劣</w:t>
            </w:r>
          </w:p>
        </w:tc>
      </w:tr>
      <w:tr w14:paraId="0F628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1A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道路通达度</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A3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0.16</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1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0.0320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11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8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C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-0.0093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C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-0.0187 </w:t>
            </w:r>
          </w:p>
        </w:tc>
      </w:tr>
      <w:tr w14:paraId="5E88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A80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交通便捷度</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1F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0.14</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FF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0.0280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0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0F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4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-0.0082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FE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-0.0163 </w:t>
            </w:r>
          </w:p>
        </w:tc>
      </w:tr>
      <w:tr w14:paraId="7D390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F7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货运站</w:t>
            </w:r>
            <w:r>
              <w:rPr>
                <w:rFonts w:hint="default" w:ascii="Times New Roman" w:hAnsi="Times New Roman" w:eastAsia="仿宋" w:cs="仿宋"/>
                <w:b w:val="0"/>
                <w:bCs w:val="0"/>
                <w:caps w:val="0"/>
                <w:smallCaps w:val="0"/>
                <w:color w:val="auto"/>
                <w:sz w:val="21"/>
                <w:szCs w:val="21"/>
                <w:highlight w:val="none"/>
                <w:lang w:val="en-US" w:eastAsia="zh-CN"/>
              </w:rPr>
              <w:t>/</w:t>
            </w:r>
            <w:r>
              <w:rPr>
                <w:rFonts w:hint="eastAsia" w:ascii="Times New Roman" w:hAnsi="Times New Roman" w:eastAsia="仿宋" w:cs="仿宋"/>
                <w:b w:val="0"/>
                <w:bCs w:val="0"/>
                <w:caps w:val="0"/>
                <w:smallCaps w:val="0"/>
                <w:color w:val="auto"/>
                <w:sz w:val="21"/>
                <w:szCs w:val="21"/>
                <w:highlight w:val="none"/>
                <w:lang w:val="en-US" w:eastAsia="zh-CN"/>
              </w:rPr>
              <w:t>物流园区</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96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0.15</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3E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0.0300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B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53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-0.0088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96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-0.0175 </w:t>
            </w:r>
          </w:p>
        </w:tc>
      </w:tr>
      <w:tr w14:paraId="5FB7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F89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供水</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03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A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DF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1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3E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-0.0117 </w:t>
            </w:r>
          </w:p>
        </w:tc>
      </w:tr>
      <w:tr w14:paraId="26BD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4A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排水</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3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B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5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BF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D2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67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-0.0117 </w:t>
            </w:r>
          </w:p>
        </w:tc>
      </w:tr>
      <w:tr w14:paraId="578E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0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地基承载力</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EA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0.12</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4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0.0240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A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0.0120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0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0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-0.0070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1F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-0.0140 </w:t>
            </w:r>
          </w:p>
        </w:tc>
      </w:tr>
      <w:tr w14:paraId="738F3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F7F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宗地形状</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3B1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0.13</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8A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0.0260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34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0.0130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6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8D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-0.0076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AE6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-0.0152 </w:t>
            </w:r>
          </w:p>
        </w:tc>
      </w:tr>
      <w:tr w14:paraId="6B22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A77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宗地面积</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ED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default" w:ascii="Times New Roman" w:hAnsi="Times New Roman" w:eastAsia="仿宋" w:cs="仿宋"/>
                <w:b w:val="0"/>
                <w:bCs w:val="0"/>
                <w:caps w:val="0"/>
                <w:smallCaps w:val="0"/>
                <w:color w:val="auto"/>
                <w:sz w:val="21"/>
                <w:szCs w:val="21"/>
                <w:highlight w:val="none"/>
                <w:lang w:val="en-US" w:eastAsia="zh-CN"/>
              </w:rPr>
              <w:t>0.1</w:t>
            </w:r>
          </w:p>
        </w:tc>
        <w:tc>
          <w:tcPr>
            <w:tcW w:w="6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2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0.0200 </w:t>
            </w:r>
          </w:p>
        </w:tc>
        <w:tc>
          <w:tcPr>
            <w:tcW w:w="7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50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0.0100 </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D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0.0000 </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CA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-0.0058 </w:t>
            </w:r>
          </w:p>
        </w:tc>
        <w:tc>
          <w:tcPr>
            <w:tcW w:w="7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43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-0.0117 </w:t>
            </w:r>
          </w:p>
        </w:tc>
      </w:tr>
    </w:tbl>
    <w:p w14:paraId="78C96F4A">
      <w:pPr>
        <w:pStyle w:val="3"/>
        <w:adjustRightInd w:val="0"/>
        <w:snapToGrid w:val="0"/>
        <w:spacing w:before="156" w:beforeLines="50" w:after="0" w:line="360" w:lineRule="auto"/>
        <w:ind w:firstLine="602" w:firstLineChars="200"/>
        <w:outlineLvl w:val="1"/>
        <w:rPr>
          <w:rFonts w:hint="eastAsia" w:ascii="仿宋" w:hAnsi="仿宋" w:eastAsia="仿宋" w:cs="仿宋"/>
          <w:b w:val="0"/>
        </w:rPr>
      </w:pPr>
      <w:r>
        <w:rPr>
          <w:rFonts w:hint="eastAsia" w:ascii="仿宋" w:hAnsi="仿宋" w:eastAsia="仿宋" w:cs="仿宋"/>
          <w:b/>
          <w:bCs w:val="0"/>
          <w:sz w:val="30"/>
          <w:szCs w:val="30"/>
          <w:lang w:eastAsia="zh-CN"/>
        </w:rPr>
        <w:t>（</w:t>
      </w:r>
      <w:r>
        <w:rPr>
          <w:rFonts w:hint="eastAsia" w:ascii="仿宋" w:hAnsi="仿宋" w:eastAsia="仿宋" w:cs="仿宋"/>
          <w:b/>
          <w:bCs w:val="0"/>
          <w:sz w:val="30"/>
          <w:szCs w:val="30"/>
          <w:lang w:val="en-US" w:eastAsia="zh-CN"/>
        </w:rPr>
        <w:t>二</w:t>
      </w:r>
      <w:r>
        <w:rPr>
          <w:rFonts w:hint="eastAsia" w:ascii="仿宋" w:hAnsi="仿宋" w:eastAsia="仿宋" w:cs="仿宋"/>
          <w:b/>
          <w:bCs w:val="0"/>
          <w:sz w:val="30"/>
          <w:szCs w:val="30"/>
          <w:lang w:eastAsia="zh-CN"/>
        </w:rPr>
        <w:t>）</w:t>
      </w:r>
      <w:r>
        <w:rPr>
          <w:rFonts w:hint="eastAsia" w:ascii="仿宋" w:hAnsi="仿宋" w:eastAsia="仿宋" w:cs="仿宋"/>
          <w:b/>
          <w:bCs w:val="0"/>
          <w:sz w:val="30"/>
          <w:szCs w:val="30"/>
        </w:rPr>
        <w:t>各类用地宗地地价其它因素修正系数</w:t>
      </w:r>
      <w:bookmarkEnd w:id="19"/>
      <w:bookmarkEnd w:id="20"/>
    </w:p>
    <w:p w14:paraId="318FAD84">
      <w:pPr>
        <w:adjustRightInd w:val="0"/>
        <w:spacing w:line="360" w:lineRule="auto"/>
        <w:ind w:firstLine="560" w:firstLineChars="200"/>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rPr>
        <w:t>容积率修正</w:t>
      </w:r>
    </w:p>
    <w:p w14:paraId="2177F60F">
      <w:pPr>
        <w:spacing w:line="360" w:lineRule="auto"/>
        <w:ind w:right="-334" w:firstLine="56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商业服务业用地、居住用地结合前面利用样点地价评估基准地价的样点容积率修正体系，在本节中是将标准容积率下的基准地价修正到实际容积率水平下的宗地地价，两者存在数值上的可逆，即前文容积率修正系数的倒数化，得到宗地评估中的容积率修正体系(</w:t>
      </w:r>
      <w:r>
        <w:rPr>
          <w:rFonts w:hint="default" w:ascii="Times New Roman" w:hAnsi="Times New Roman" w:eastAsia="仿宋" w:cs="Times New Roman"/>
          <w:b w:val="0"/>
          <w:bCs w:val="0"/>
          <w:kern w:val="2"/>
          <w:sz w:val="28"/>
          <w:szCs w:val="28"/>
          <w:highlight w:val="none"/>
          <w:lang w:val="en-US" w:eastAsia="zh-CN" w:bidi="ar-SA"/>
        </w:rPr>
        <w:t>详见下表2-</w:t>
      </w:r>
      <w:r>
        <w:rPr>
          <w:rFonts w:hint="eastAsia" w:ascii="Times New Roman" w:hAnsi="Times New Roman" w:eastAsia="仿宋" w:cs="Times New Roman"/>
          <w:b w:val="0"/>
          <w:bCs w:val="0"/>
          <w:kern w:val="2"/>
          <w:sz w:val="28"/>
          <w:szCs w:val="28"/>
          <w:highlight w:val="none"/>
          <w:lang w:val="en-US" w:eastAsia="zh-CN" w:bidi="ar-SA"/>
        </w:rPr>
        <w:t>23</w:t>
      </w:r>
      <w:r>
        <w:rPr>
          <w:rFonts w:hint="default" w:ascii="Times New Roman" w:hAnsi="Times New Roman" w:eastAsia="仿宋" w:cs="Times New Roman"/>
          <w:b w:val="0"/>
          <w:bCs w:val="0"/>
          <w:kern w:val="2"/>
          <w:sz w:val="28"/>
          <w:szCs w:val="28"/>
          <w:highlight w:val="none"/>
          <w:lang w:val="en-US" w:eastAsia="zh-CN" w:bidi="ar-SA"/>
        </w:rPr>
        <w:t>和表2-</w:t>
      </w:r>
      <w:r>
        <w:rPr>
          <w:rFonts w:hint="eastAsia" w:ascii="Times New Roman" w:hAnsi="Times New Roman" w:eastAsia="仿宋" w:cs="Times New Roman"/>
          <w:b w:val="0"/>
          <w:bCs w:val="0"/>
          <w:kern w:val="2"/>
          <w:sz w:val="28"/>
          <w:szCs w:val="28"/>
          <w:highlight w:val="none"/>
          <w:lang w:val="en-US" w:eastAsia="zh-CN" w:bidi="ar-SA"/>
        </w:rPr>
        <w:t>29</w:t>
      </w:r>
      <w:r>
        <w:rPr>
          <w:rFonts w:hint="default" w:ascii="Times New Roman" w:hAnsi="Times New Roman" w:eastAsia="仿宋" w:cs="Times New Roman"/>
          <w:b w:val="0"/>
          <w:bCs w:val="0"/>
          <w:kern w:val="2"/>
          <w:sz w:val="28"/>
          <w:szCs w:val="28"/>
          <w:highlight w:val="none"/>
          <w:lang w:val="en-US" w:eastAsia="zh-CN" w:bidi="ar-SA"/>
        </w:rPr>
        <w:t>)。</w:t>
      </w:r>
      <w:r>
        <w:rPr>
          <w:rFonts w:hint="default" w:ascii="Times New Roman" w:hAnsi="Times New Roman" w:eastAsia="仿宋" w:cs="Times New Roman"/>
          <w:b w:val="0"/>
          <w:bCs w:val="0"/>
          <w:kern w:val="2"/>
          <w:sz w:val="28"/>
          <w:szCs w:val="28"/>
          <w:lang w:val="en-US" w:eastAsia="zh-CN" w:bidi="ar-SA"/>
        </w:rPr>
        <w:t>工矿用地根据自然资发[2023]72号《关于发布&lt;工业建设用地控制指标&gt;的通知》各级自然资源主管部门要严格依据《控制指标》审核工业项目用地，对不符合《控制指标》要求的工业项目，要按规定核减项目用地面积或不予供地。以及国发〔2008〕3号《国务院关于促进节约集约用地的通知》，“对现有工矿用地，在符合规划、不改变用途的前提下，提高土地利用率和增加容积率的，不再增收土地价款；对新增工矿用地，要进一步提高工矿用地控制指标，厂房建筑面积高于容积率控制指标的部分，不再增收土地价款。因此，本次评估工矿用地容积率水平我们按照</w:t>
      </w:r>
      <w:r>
        <w:rPr>
          <w:rFonts w:hint="eastAsia" w:ascii="Times New Roman" w:hAnsi="Times New Roman" w:eastAsia="仿宋" w:cs="Times New Roman"/>
          <w:b w:val="0"/>
          <w:bCs w:val="0"/>
          <w:kern w:val="2"/>
          <w:sz w:val="28"/>
          <w:szCs w:val="28"/>
          <w:lang w:val="en-US" w:eastAsia="zh-CN" w:bidi="ar-SA"/>
        </w:rPr>
        <w:t>五原县</w:t>
      </w:r>
      <w:r>
        <w:rPr>
          <w:rFonts w:hint="eastAsia" w:eastAsia="仿宋" w:cs="Times New Roman"/>
          <w:b w:val="0"/>
          <w:bCs w:val="0"/>
          <w:kern w:val="2"/>
          <w:sz w:val="28"/>
          <w:szCs w:val="28"/>
          <w:lang w:val="en-US" w:eastAsia="zh-CN" w:bidi="ar-SA"/>
        </w:rPr>
        <w:t>巴彦套海</w:t>
      </w:r>
      <w:r>
        <w:rPr>
          <w:rFonts w:hint="eastAsia" w:ascii="Times New Roman" w:hAnsi="Times New Roman" w:eastAsia="仿宋" w:cs="Times New Roman"/>
          <w:b w:val="0"/>
          <w:bCs w:val="0"/>
          <w:kern w:val="2"/>
          <w:sz w:val="28"/>
          <w:szCs w:val="28"/>
          <w:lang w:val="en-US" w:eastAsia="zh-CN" w:bidi="ar-SA"/>
        </w:rPr>
        <w:t>镇</w:t>
      </w:r>
      <w:r>
        <w:rPr>
          <w:rFonts w:hint="default" w:ascii="Times New Roman" w:hAnsi="Times New Roman" w:eastAsia="仿宋" w:cs="Times New Roman"/>
          <w:b w:val="0"/>
          <w:bCs w:val="0"/>
          <w:kern w:val="2"/>
          <w:sz w:val="28"/>
          <w:szCs w:val="28"/>
          <w:lang w:val="en-US" w:eastAsia="zh-CN" w:bidi="ar-SA"/>
        </w:rPr>
        <w:t>工矿用地的最低容积率控制指标设定为0.8。</w:t>
      </w:r>
      <w:r>
        <w:rPr>
          <w:rFonts w:hint="eastAsia" w:ascii="仿宋" w:hAnsi="仿宋" w:eastAsia="仿宋" w:cs="仿宋"/>
          <w:b w:val="0"/>
          <w:bCs w:val="0"/>
          <w:kern w:val="2"/>
          <w:sz w:val="28"/>
          <w:szCs w:val="28"/>
          <w:lang w:val="en-US" w:eastAsia="zh-CN" w:bidi="ar-SA"/>
        </w:rPr>
        <w:t>对于低于容积率控制指标的工矿用地，在现行政策中政府不再供地，工矿用地容积率只确定最低容积率控制指标值，而高于控制指标部分不做容积率修正。因此，本次容积率修正主要针对商业服务业用地、居</w:t>
      </w:r>
      <w:r>
        <w:rPr>
          <w:rFonts w:hint="default" w:ascii="Times New Roman" w:hAnsi="Times New Roman" w:eastAsia="仿宋" w:cs="Times New Roman"/>
          <w:b w:val="0"/>
          <w:bCs w:val="0"/>
          <w:kern w:val="2"/>
          <w:sz w:val="28"/>
          <w:szCs w:val="28"/>
          <w:lang w:val="en-US" w:eastAsia="zh-CN" w:bidi="ar-SA"/>
        </w:rPr>
        <w:t>住用地（非别墅用地）、公共管理与公共服务用地容积率修正系数直接采用居住用地容积率修正系数表，公用设施用地不进行容积率修正。</w:t>
      </w:r>
    </w:p>
    <w:p w14:paraId="306A343B">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bCs/>
          <w:sz w:val="28"/>
          <w:szCs w:val="28"/>
          <w:lang w:eastAsia="zh-CN"/>
        </w:rPr>
        <w:t>　　</w:t>
      </w:r>
      <w:r>
        <w:rPr>
          <w:rFonts w:hint="default" w:ascii="Times New Roman" w:hAnsi="Times New Roman" w:eastAsia="仿宋" w:cs="Times New Roman"/>
          <w:b w:val="0"/>
          <w:bCs w:val="0"/>
          <w:kern w:val="2"/>
          <w:sz w:val="28"/>
          <w:szCs w:val="28"/>
          <w:lang w:val="en-US" w:eastAsia="zh-CN" w:bidi="ar-SA"/>
        </w:rPr>
        <w:t>（1）容积率修正</w:t>
      </w:r>
    </w:p>
    <w:p w14:paraId="7B5264F5">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运用下述公式进行修正：</w:t>
      </w:r>
    </w:p>
    <w:p w14:paraId="254C7581">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P</w:t>
      </w:r>
      <w:r>
        <w:rPr>
          <w:rFonts w:hint="default" w:ascii="Times New Roman" w:hAnsi="Times New Roman" w:eastAsia="仿宋" w:cs="Times New Roman"/>
          <w:b w:val="0"/>
          <w:bCs w:val="0"/>
          <w:kern w:val="2"/>
          <w:sz w:val="28"/>
          <w:szCs w:val="28"/>
          <w:vertAlign w:val="subscript"/>
          <w:lang w:val="en-US" w:eastAsia="zh-CN" w:bidi="ar-SA"/>
        </w:rPr>
        <w:t>ls</w:t>
      </w:r>
      <w:r>
        <w:rPr>
          <w:rFonts w:hint="default" w:ascii="Times New Roman" w:hAnsi="Times New Roman" w:eastAsia="仿宋" w:cs="Times New Roman"/>
          <w:b w:val="0"/>
          <w:bCs w:val="0"/>
          <w:kern w:val="2"/>
          <w:sz w:val="28"/>
          <w:szCs w:val="28"/>
          <w:lang w:val="en-US" w:eastAsia="zh-CN" w:bidi="ar-SA"/>
        </w:rPr>
        <w:t>＝P</w:t>
      </w:r>
      <w:r>
        <w:rPr>
          <w:rFonts w:hint="default" w:ascii="Times New Roman" w:hAnsi="Times New Roman" w:eastAsia="仿宋" w:cs="Times New Roman"/>
          <w:b w:val="0"/>
          <w:bCs w:val="0"/>
          <w:kern w:val="2"/>
          <w:sz w:val="28"/>
          <w:szCs w:val="28"/>
          <w:vertAlign w:val="subscript"/>
          <w:lang w:val="en-US" w:eastAsia="zh-CN" w:bidi="ar-SA"/>
        </w:rPr>
        <w:t>li</w:t>
      </w:r>
      <w:r>
        <w:rPr>
          <w:rFonts w:hint="default" w:ascii="Times New Roman" w:hAnsi="Times New Roman" w:eastAsia="仿宋" w:cs="Times New Roman"/>
          <w:b w:val="0"/>
          <w:bCs w:val="0"/>
          <w:kern w:val="2"/>
          <w:sz w:val="28"/>
          <w:szCs w:val="28"/>
          <w:lang w:val="en-US" w:eastAsia="zh-CN" w:bidi="ar-SA"/>
        </w:rPr>
        <w:t>×K</w:t>
      </w:r>
      <w:r>
        <w:rPr>
          <w:rFonts w:hint="default" w:ascii="Times New Roman" w:hAnsi="Times New Roman" w:eastAsia="仿宋" w:cs="Times New Roman"/>
          <w:b w:val="0"/>
          <w:bCs w:val="0"/>
          <w:kern w:val="2"/>
          <w:sz w:val="28"/>
          <w:szCs w:val="28"/>
          <w:vertAlign w:val="subscript"/>
          <w:lang w:val="en-US" w:eastAsia="zh-CN" w:bidi="ar-SA"/>
        </w:rPr>
        <w:t>r</w:t>
      </w:r>
      <w:r>
        <w:rPr>
          <w:rFonts w:hint="default" w:ascii="Times New Roman" w:hAnsi="Times New Roman" w:eastAsia="仿宋" w:cs="Times New Roman"/>
          <w:b w:val="0"/>
          <w:bCs w:val="0"/>
          <w:kern w:val="2"/>
          <w:sz w:val="28"/>
          <w:szCs w:val="28"/>
          <w:lang w:val="en-US" w:eastAsia="zh-CN" w:bidi="ar-SA"/>
        </w:rPr>
        <w:t xml:space="preserve">                                                                                          </w:t>
      </w:r>
    </w:p>
    <w:p w14:paraId="08924EB9">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式中：P</w:t>
      </w:r>
      <w:r>
        <w:rPr>
          <w:rFonts w:hint="default" w:ascii="Times New Roman" w:hAnsi="Times New Roman" w:eastAsia="仿宋" w:cs="Times New Roman"/>
          <w:b w:val="0"/>
          <w:bCs w:val="0"/>
          <w:kern w:val="2"/>
          <w:sz w:val="28"/>
          <w:szCs w:val="28"/>
          <w:vertAlign w:val="subscript"/>
          <w:lang w:val="en-US" w:eastAsia="zh-CN" w:bidi="ar-SA"/>
        </w:rPr>
        <w:t>ls</w:t>
      </w:r>
      <w:r>
        <w:rPr>
          <w:rFonts w:hint="default" w:ascii="Times New Roman" w:hAnsi="Times New Roman" w:eastAsia="仿宋" w:cs="Times New Roman"/>
          <w:b w:val="0"/>
          <w:bCs w:val="0"/>
          <w:kern w:val="2"/>
          <w:sz w:val="28"/>
          <w:szCs w:val="28"/>
          <w:lang w:val="en-US" w:eastAsia="zh-CN" w:bidi="ar-SA"/>
        </w:rPr>
        <w:t>——修正到宗地实际容积率水平时的地价；</w:t>
      </w:r>
    </w:p>
    <w:p w14:paraId="3B1D717A">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P</w:t>
      </w:r>
      <w:r>
        <w:rPr>
          <w:rFonts w:hint="default" w:ascii="Times New Roman" w:hAnsi="Times New Roman" w:eastAsia="仿宋" w:cs="Times New Roman"/>
          <w:b w:val="0"/>
          <w:bCs w:val="0"/>
          <w:kern w:val="2"/>
          <w:sz w:val="28"/>
          <w:szCs w:val="28"/>
          <w:vertAlign w:val="subscript"/>
          <w:lang w:val="en-US" w:eastAsia="zh-CN" w:bidi="ar-SA"/>
        </w:rPr>
        <w:t>li</w:t>
      </w:r>
      <w:r>
        <w:rPr>
          <w:rFonts w:hint="default" w:ascii="Times New Roman" w:hAnsi="Times New Roman" w:eastAsia="仿宋" w:cs="Times New Roman"/>
          <w:b w:val="0"/>
          <w:bCs w:val="0"/>
          <w:kern w:val="2"/>
          <w:sz w:val="28"/>
          <w:szCs w:val="28"/>
          <w:lang w:val="en-US" w:eastAsia="zh-CN" w:bidi="ar-SA"/>
        </w:rPr>
        <w:t>——标准容积率下的基准地价；</w:t>
      </w:r>
    </w:p>
    <w:p w14:paraId="3BA0267D">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K</w:t>
      </w:r>
      <w:r>
        <w:rPr>
          <w:rFonts w:hint="default" w:ascii="Times New Roman" w:hAnsi="Times New Roman" w:eastAsia="仿宋" w:cs="Times New Roman"/>
          <w:b w:val="0"/>
          <w:bCs w:val="0"/>
          <w:kern w:val="2"/>
          <w:sz w:val="28"/>
          <w:szCs w:val="28"/>
          <w:vertAlign w:val="subscript"/>
          <w:lang w:val="en-US" w:eastAsia="zh-CN" w:bidi="ar-SA"/>
        </w:rPr>
        <w:t>r</w:t>
      </w:r>
      <w:r>
        <w:rPr>
          <w:rFonts w:hint="default" w:ascii="Times New Roman" w:hAnsi="Times New Roman" w:eastAsia="仿宋" w:cs="Times New Roman"/>
          <w:b w:val="0"/>
          <w:bCs w:val="0"/>
          <w:kern w:val="2"/>
          <w:sz w:val="28"/>
          <w:szCs w:val="28"/>
          <w:lang w:val="en-US" w:eastAsia="zh-CN" w:bidi="ar-SA"/>
        </w:rPr>
        <w:t>——容积率修正系数。</w:t>
      </w:r>
    </w:p>
    <w:p w14:paraId="4BC45458">
      <w:pPr>
        <w:adjustRightInd w:val="0"/>
        <w:snapToGrid w:val="0"/>
        <w:spacing w:line="240" w:lineRule="auto"/>
        <w:ind w:firstLine="0" w:firstLineChars="0"/>
        <w:jc w:val="center"/>
        <w:outlineLvl w:val="9"/>
        <w:rPr>
          <w:rFonts w:hint="default" w:ascii="Times New Roman" w:hAnsi="Times New Roman" w:eastAsia="仿宋" w:cs="Times New Roman"/>
          <w:b/>
          <w:sz w:val="24"/>
        </w:rPr>
      </w:pPr>
      <w:r>
        <w:rPr>
          <w:rFonts w:hint="default" w:ascii="Times New Roman" w:hAnsi="Times New Roman" w:eastAsia="仿宋" w:cs="Times New Roman"/>
          <w:b/>
          <w:sz w:val="24"/>
          <w:lang w:eastAsia="zh-CN"/>
        </w:rPr>
        <w:t>　　</w:t>
      </w:r>
      <w:r>
        <w:rPr>
          <w:rFonts w:hint="default" w:ascii="Times New Roman" w:hAnsi="Times New Roman" w:eastAsia="仿宋" w:cs="Times New Roman"/>
          <w:b/>
          <w:sz w:val="24"/>
        </w:rPr>
        <w:t>表</w:t>
      </w:r>
      <w:r>
        <w:rPr>
          <w:rFonts w:hint="default" w:ascii="Times New Roman" w:hAnsi="Times New Roman" w:eastAsia="仿宋" w:cs="Times New Roman"/>
          <w:b/>
          <w:sz w:val="24"/>
          <w:lang w:val="en-US" w:eastAsia="zh-CN"/>
        </w:rPr>
        <w:t>2</w:t>
      </w:r>
      <w:r>
        <w:rPr>
          <w:rFonts w:hint="default" w:ascii="Times New Roman" w:hAnsi="Times New Roman" w:eastAsia="仿宋" w:cs="Times New Roman"/>
          <w:b/>
          <w:sz w:val="24"/>
        </w:rPr>
        <w:t>-</w:t>
      </w:r>
      <w:r>
        <w:rPr>
          <w:rFonts w:hint="eastAsia" w:ascii="Times New Roman" w:hAnsi="Times New Roman" w:eastAsia="仿宋" w:cs="Times New Roman"/>
          <w:b/>
          <w:sz w:val="24"/>
          <w:lang w:val="en-US" w:eastAsia="zh-CN"/>
        </w:rPr>
        <w:t>23</w:t>
      </w:r>
      <w:r>
        <w:rPr>
          <w:rFonts w:hint="default" w:ascii="Times New Roman" w:hAnsi="Times New Roman" w:eastAsia="仿宋" w:cs="Times New Roman"/>
          <w:b/>
          <w:sz w:val="24"/>
        </w:rPr>
        <w:t xml:space="preserve">    </w:t>
      </w:r>
      <w:r>
        <w:rPr>
          <w:rFonts w:hint="eastAsia" w:ascii="Times New Roman" w:hAnsi="Times New Roman" w:eastAsia="仿宋" w:cs="Times New Roman"/>
          <w:b/>
          <w:sz w:val="24"/>
          <w:lang w:val="en-US" w:eastAsia="zh-CN"/>
        </w:rPr>
        <w:t xml:space="preserve"> </w:t>
      </w:r>
      <w:r>
        <w:rPr>
          <w:rFonts w:hint="default" w:ascii="Times New Roman" w:hAnsi="Times New Roman" w:eastAsia="仿宋" w:cs="Times New Roman"/>
          <w:b/>
          <w:sz w:val="24"/>
          <w:lang w:eastAsia="zh-CN"/>
        </w:rPr>
        <w:t>商业服务业用地</w:t>
      </w:r>
      <w:r>
        <w:rPr>
          <w:rFonts w:hint="default" w:ascii="Times New Roman" w:hAnsi="Times New Roman" w:eastAsia="仿宋" w:cs="Times New Roman"/>
          <w:b/>
          <w:sz w:val="24"/>
        </w:rPr>
        <w:t>容积率修正系数表</w:t>
      </w:r>
    </w:p>
    <w:tbl>
      <w:tblPr>
        <w:tblStyle w:val="14"/>
        <w:tblW w:w="5063" w:type="pct"/>
        <w:tblInd w:w="-1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6"/>
        <w:gridCol w:w="968"/>
        <w:gridCol w:w="968"/>
        <w:gridCol w:w="968"/>
        <w:gridCol w:w="968"/>
        <w:gridCol w:w="968"/>
        <w:gridCol w:w="968"/>
        <w:gridCol w:w="968"/>
        <w:gridCol w:w="977"/>
      </w:tblGrid>
      <w:tr w14:paraId="35E5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718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3" w:name="_Toc12215"/>
            <w:r>
              <w:rPr>
                <w:rFonts w:hint="default" w:ascii="Times New Roman" w:hAnsi="Times New Roman" w:eastAsia="仿宋" w:cs="Times New Roman"/>
                <w:b w:val="0"/>
                <w:bCs w:val="0"/>
                <w:sz w:val="21"/>
                <w:szCs w:val="21"/>
                <w:lang w:val="en-US" w:eastAsia="zh-CN"/>
              </w:rPr>
              <w:t>容积率</w:t>
            </w:r>
            <w:bookmarkEnd w:id="43"/>
          </w:p>
        </w:tc>
        <w:tc>
          <w:tcPr>
            <w:tcW w:w="548" w:type="pct"/>
            <w:tcBorders>
              <w:top w:val="single" w:color="000000" w:sz="8" w:space="0"/>
              <w:left w:val="nil"/>
              <w:bottom w:val="single" w:color="000000" w:sz="8" w:space="0"/>
              <w:right w:val="single" w:color="000000" w:sz="8" w:space="0"/>
            </w:tcBorders>
            <w:shd w:val="clear" w:color="auto" w:fill="auto"/>
            <w:vAlign w:val="center"/>
          </w:tcPr>
          <w:p w14:paraId="2A4A2E8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4" w:name="_Toc10825"/>
            <w:r>
              <w:rPr>
                <w:rFonts w:hint="default" w:ascii="Times New Roman" w:hAnsi="Times New Roman" w:eastAsia="仿宋" w:cs="Times New Roman"/>
                <w:b w:val="0"/>
                <w:bCs w:val="0"/>
                <w:sz w:val="21"/>
                <w:szCs w:val="21"/>
                <w:lang w:val="en-US" w:eastAsia="zh-CN"/>
              </w:rPr>
              <w:t>≤0.5</w:t>
            </w:r>
            <w:bookmarkEnd w:id="44"/>
          </w:p>
        </w:tc>
        <w:tc>
          <w:tcPr>
            <w:tcW w:w="548" w:type="pct"/>
            <w:tcBorders>
              <w:top w:val="single" w:color="000000" w:sz="8" w:space="0"/>
              <w:left w:val="nil"/>
              <w:bottom w:val="single" w:color="000000" w:sz="8" w:space="0"/>
              <w:right w:val="single" w:color="000000" w:sz="8" w:space="0"/>
            </w:tcBorders>
            <w:shd w:val="clear" w:color="auto" w:fill="auto"/>
            <w:vAlign w:val="center"/>
          </w:tcPr>
          <w:p w14:paraId="48BA8F7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5" w:name="_Toc31214"/>
            <w:r>
              <w:rPr>
                <w:rFonts w:hint="default" w:ascii="Times New Roman" w:hAnsi="Times New Roman" w:eastAsia="仿宋" w:cs="Times New Roman"/>
                <w:b w:val="0"/>
                <w:bCs w:val="0"/>
                <w:sz w:val="21"/>
                <w:szCs w:val="21"/>
                <w:lang w:val="en-US" w:eastAsia="zh-CN"/>
              </w:rPr>
              <w:t>0.6</w:t>
            </w:r>
            <w:bookmarkEnd w:id="45"/>
          </w:p>
        </w:tc>
        <w:tc>
          <w:tcPr>
            <w:tcW w:w="548" w:type="pct"/>
            <w:tcBorders>
              <w:top w:val="single" w:color="000000" w:sz="8" w:space="0"/>
              <w:left w:val="nil"/>
              <w:bottom w:val="single" w:color="000000" w:sz="8" w:space="0"/>
              <w:right w:val="single" w:color="000000" w:sz="8" w:space="0"/>
            </w:tcBorders>
            <w:shd w:val="clear" w:color="auto" w:fill="auto"/>
            <w:vAlign w:val="center"/>
          </w:tcPr>
          <w:p w14:paraId="1586048D">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6" w:name="_Toc24285"/>
            <w:r>
              <w:rPr>
                <w:rFonts w:hint="default" w:ascii="Times New Roman" w:hAnsi="Times New Roman" w:eastAsia="仿宋" w:cs="Times New Roman"/>
                <w:b w:val="0"/>
                <w:bCs w:val="0"/>
                <w:sz w:val="21"/>
                <w:szCs w:val="21"/>
                <w:lang w:val="en-US" w:eastAsia="zh-CN"/>
              </w:rPr>
              <w:t>0.7</w:t>
            </w:r>
            <w:bookmarkEnd w:id="46"/>
          </w:p>
        </w:tc>
        <w:tc>
          <w:tcPr>
            <w:tcW w:w="548" w:type="pct"/>
            <w:tcBorders>
              <w:top w:val="single" w:color="000000" w:sz="8" w:space="0"/>
              <w:left w:val="nil"/>
              <w:bottom w:val="single" w:color="000000" w:sz="8" w:space="0"/>
              <w:right w:val="single" w:color="000000" w:sz="8" w:space="0"/>
            </w:tcBorders>
            <w:shd w:val="clear" w:color="auto" w:fill="auto"/>
            <w:vAlign w:val="center"/>
          </w:tcPr>
          <w:p w14:paraId="6FAD6942">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7" w:name="_Toc16043"/>
            <w:r>
              <w:rPr>
                <w:rFonts w:hint="default" w:ascii="Times New Roman" w:hAnsi="Times New Roman" w:eastAsia="仿宋" w:cs="Times New Roman"/>
                <w:b w:val="0"/>
                <w:bCs w:val="0"/>
                <w:sz w:val="21"/>
                <w:szCs w:val="21"/>
                <w:lang w:val="en-US" w:eastAsia="zh-CN"/>
              </w:rPr>
              <w:t>0.8</w:t>
            </w:r>
            <w:bookmarkEnd w:id="47"/>
          </w:p>
        </w:tc>
        <w:tc>
          <w:tcPr>
            <w:tcW w:w="548" w:type="pct"/>
            <w:tcBorders>
              <w:top w:val="single" w:color="000000" w:sz="8" w:space="0"/>
              <w:left w:val="nil"/>
              <w:bottom w:val="single" w:color="000000" w:sz="8" w:space="0"/>
              <w:right w:val="single" w:color="000000" w:sz="8" w:space="0"/>
            </w:tcBorders>
            <w:shd w:val="clear" w:color="auto" w:fill="auto"/>
            <w:vAlign w:val="center"/>
          </w:tcPr>
          <w:p w14:paraId="412162BE">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8" w:name="_Toc5346"/>
            <w:r>
              <w:rPr>
                <w:rFonts w:hint="default" w:ascii="Times New Roman" w:hAnsi="Times New Roman" w:eastAsia="仿宋" w:cs="Times New Roman"/>
                <w:b w:val="0"/>
                <w:bCs w:val="0"/>
                <w:sz w:val="21"/>
                <w:szCs w:val="21"/>
                <w:lang w:val="en-US" w:eastAsia="zh-CN"/>
              </w:rPr>
              <w:t>0.9</w:t>
            </w:r>
            <w:bookmarkEnd w:id="48"/>
          </w:p>
        </w:tc>
        <w:tc>
          <w:tcPr>
            <w:tcW w:w="548" w:type="pct"/>
            <w:tcBorders>
              <w:top w:val="single" w:color="000000" w:sz="8" w:space="0"/>
              <w:left w:val="nil"/>
              <w:bottom w:val="single" w:color="000000" w:sz="8" w:space="0"/>
              <w:right w:val="single" w:color="000000" w:sz="8" w:space="0"/>
            </w:tcBorders>
            <w:shd w:val="clear" w:color="auto" w:fill="auto"/>
            <w:vAlign w:val="center"/>
          </w:tcPr>
          <w:p w14:paraId="0098E887">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49" w:name="_Toc3333"/>
            <w:r>
              <w:rPr>
                <w:rFonts w:hint="default" w:ascii="Times New Roman" w:hAnsi="Times New Roman" w:eastAsia="仿宋" w:cs="Times New Roman"/>
                <w:b w:val="0"/>
                <w:bCs w:val="0"/>
                <w:sz w:val="21"/>
                <w:szCs w:val="21"/>
                <w:lang w:val="en-US" w:eastAsia="zh-CN"/>
              </w:rPr>
              <w:t>1</w:t>
            </w:r>
            <w:bookmarkEnd w:id="49"/>
          </w:p>
        </w:tc>
        <w:tc>
          <w:tcPr>
            <w:tcW w:w="548" w:type="pct"/>
            <w:tcBorders>
              <w:top w:val="single" w:color="000000" w:sz="8" w:space="0"/>
              <w:left w:val="nil"/>
              <w:bottom w:val="single" w:color="000000" w:sz="8" w:space="0"/>
              <w:right w:val="single" w:color="000000" w:sz="8" w:space="0"/>
            </w:tcBorders>
            <w:shd w:val="clear" w:color="auto" w:fill="auto"/>
            <w:vAlign w:val="center"/>
          </w:tcPr>
          <w:p w14:paraId="4B3E28BC">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0" w:name="_Toc24890"/>
            <w:r>
              <w:rPr>
                <w:rFonts w:hint="default" w:ascii="Times New Roman" w:hAnsi="Times New Roman" w:eastAsia="仿宋" w:cs="Times New Roman"/>
                <w:b w:val="0"/>
                <w:bCs w:val="0"/>
                <w:sz w:val="21"/>
                <w:szCs w:val="21"/>
                <w:lang w:val="en-US" w:eastAsia="zh-CN"/>
              </w:rPr>
              <w:t>1.1</w:t>
            </w:r>
            <w:bookmarkEnd w:id="50"/>
          </w:p>
        </w:tc>
        <w:tc>
          <w:tcPr>
            <w:tcW w:w="553" w:type="pct"/>
            <w:tcBorders>
              <w:top w:val="single" w:color="000000" w:sz="8" w:space="0"/>
              <w:left w:val="nil"/>
              <w:bottom w:val="single" w:color="000000" w:sz="8" w:space="0"/>
              <w:right w:val="single" w:color="000000" w:sz="8" w:space="0"/>
            </w:tcBorders>
            <w:shd w:val="clear" w:color="auto" w:fill="auto"/>
            <w:vAlign w:val="center"/>
          </w:tcPr>
          <w:p w14:paraId="41C392C6">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1" w:name="_Toc26613"/>
            <w:r>
              <w:rPr>
                <w:rFonts w:hint="default" w:ascii="Times New Roman" w:hAnsi="Times New Roman" w:eastAsia="仿宋" w:cs="Times New Roman"/>
                <w:b w:val="0"/>
                <w:bCs w:val="0"/>
                <w:sz w:val="21"/>
                <w:szCs w:val="21"/>
                <w:lang w:val="en-US" w:eastAsia="zh-CN"/>
              </w:rPr>
              <w:t>1.2</w:t>
            </w:r>
            <w:bookmarkEnd w:id="51"/>
          </w:p>
        </w:tc>
      </w:tr>
      <w:tr w14:paraId="60A4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D949">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2" w:name="_Toc24100"/>
            <w:r>
              <w:rPr>
                <w:rFonts w:hint="default" w:ascii="Times New Roman" w:hAnsi="Times New Roman" w:eastAsia="仿宋" w:cs="Times New Roman"/>
                <w:b w:val="0"/>
                <w:bCs w:val="0"/>
                <w:sz w:val="21"/>
                <w:szCs w:val="21"/>
                <w:lang w:val="en-US" w:eastAsia="zh-CN"/>
              </w:rPr>
              <w:t>修正系数</w:t>
            </w:r>
            <w:bookmarkEnd w:id="52"/>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147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3" w:name="_Toc24357"/>
            <w:r>
              <w:rPr>
                <w:rFonts w:hint="default" w:ascii="Times New Roman" w:hAnsi="Times New Roman" w:eastAsia="仿宋" w:cs="Times New Roman"/>
                <w:b w:val="0"/>
                <w:bCs w:val="0"/>
                <w:sz w:val="21"/>
                <w:szCs w:val="21"/>
                <w:lang w:val="en-US" w:eastAsia="zh-CN"/>
              </w:rPr>
              <w:t>0.8417</w:t>
            </w:r>
            <w:bookmarkEnd w:id="53"/>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A42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4" w:name="_Toc26985"/>
            <w:r>
              <w:rPr>
                <w:rFonts w:hint="default" w:ascii="Times New Roman" w:hAnsi="Times New Roman" w:eastAsia="仿宋" w:cs="Times New Roman"/>
                <w:b w:val="0"/>
                <w:bCs w:val="0"/>
                <w:sz w:val="21"/>
                <w:szCs w:val="21"/>
                <w:lang w:val="en-US" w:eastAsia="zh-CN"/>
              </w:rPr>
              <w:t>0.8670</w:t>
            </w:r>
            <w:bookmarkEnd w:id="54"/>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B2B1">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5" w:name="_Toc15091"/>
            <w:r>
              <w:rPr>
                <w:rFonts w:hint="default" w:ascii="Times New Roman" w:hAnsi="Times New Roman" w:eastAsia="仿宋" w:cs="Times New Roman"/>
                <w:b w:val="0"/>
                <w:bCs w:val="0"/>
                <w:sz w:val="21"/>
                <w:szCs w:val="21"/>
                <w:lang w:val="en-US" w:eastAsia="zh-CN"/>
              </w:rPr>
              <w:t>0.9077</w:t>
            </w:r>
            <w:bookmarkEnd w:id="55"/>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B0E32">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6" w:name="_Toc27841"/>
            <w:r>
              <w:rPr>
                <w:rFonts w:hint="default" w:ascii="Times New Roman" w:hAnsi="Times New Roman" w:eastAsia="仿宋" w:cs="Times New Roman"/>
                <w:b w:val="0"/>
                <w:bCs w:val="0"/>
                <w:sz w:val="21"/>
                <w:szCs w:val="21"/>
                <w:lang w:val="en-US" w:eastAsia="zh-CN"/>
              </w:rPr>
              <w:t>0.9471</w:t>
            </w:r>
            <w:bookmarkEnd w:id="56"/>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60C85">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7" w:name="_Toc15814"/>
            <w:r>
              <w:rPr>
                <w:rFonts w:hint="default" w:ascii="Times New Roman" w:hAnsi="Times New Roman" w:eastAsia="仿宋" w:cs="Times New Roman"/>
                <w:b w:val="0"/>
                <w:bCs w:val="0"/>
                <w:sz w:val="21"/>
                <w:szCs w:val="21"/>
                <w:lang w:val="en-US" w:eastAsia="zh-CN"/>
              </w:rPr>
              <w:t>0.9743</w:t>
            </w:r>
            <w:bookmarkEnd w:id="57"/>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5D70">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8" w:name="_Toc19033"/>
            <w:r>
              <w:rPr>
                <w:rFonts w:hint="default" w:ascii="Times New Roman" w:hAnsi="Times New Roman" w:eastAsia="仿宋" w:cs="Times New Roman"/>
                <w:b w:val="0"/>
                <w:bCs w:val="0"/>
                <w:sz w:val="21"/>
                <w:szCs w:val="21"/>
                <w:lang w:val="en-US" w:eastAsia="zh-CN"/>
              </w:rPr>
              <w:t>1.0000</w:t>
            </w:r>
            <w:bookmarkEnd w:id="58"/>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DA51F">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59" w:name="_Toc19696"/>
            <w:r>
              <w:rPr>
                <w:rFonts w:hint="default" w:ascii="Times New Roman" w:hAnsi="Times New Roman" w:eastAsia="仿宋" w:cs="Times New Roman"/>
                <w:b w:val="0"/>
                <w:bCs w:val="0"/>
                <w:sz w:val="21"/>
                <w:szCs w:val="21"/>
                <w:lang w:val="en-US" w:eastAsia="zh-CN"/>
              </w:rPr>
              <w:t>1.0414</w:t>
            </w:r>
            <w:bookmarkEnd w:id="59"/>
            <w:r>
              <w:rPr>
                <w:rFonts w:hint="default" w:ascii="Times New Roman" w:hAnsi="Times New Roman" w:eastAsia="仿宋" w:cs="Times New Roman"/>
                <w:b w:val="0"/>
                <w:bCs w:val="0"/>
                <w:sz w:val="21"/>
                <w:szCs w:val="21"/>
                <w:lang w:val="en-US" w:eastAsia="zh-CN"/>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4B60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0" w:name="_Toc5802"/>
            <w:r>
              <w:rPr>
                <w:rFonts w:hint="default" w:ascii="Times New Roman" w:hAnsi="Times New Roman" w:eastAsia="仿宋" w:cs="Times New Roman"/>
                <w:b w:val="0"/>
                <w:bCs w:val="0"/>
                <w:sz w:val="21"/>
                <w:szCs w:val="21"/>
                <w:lang w:val="en-US" w:eastAsia="zh-CN"/>
              </w:rPr>
              <w:t>1.0514</w:t>
            </w:r>
            <w:bookmarkEnd w:id="60"/>
            <w:r>
              <w:rPr>
                <w:rFonts w:hint="default" w:ascii="Times New Roman" w:hAnsi="Times New Roman" w:eastAsia="仿宋" w:cs="Times New Roman"/>
                <w:b w:val="0"/>
                <w:bCs w:val="0"/>
                <w:sz w:val="21"/>
                <w:szCs w:val="21"/>
                <w:lang w:val="en-US" w:eastAsia="zh-CN"/>
              </w:rPr>
              <w:t xml:space="preserve"> </w:t>
            </w:r>
          </w:p>
        </w:tc>
      </w:tr>
      <w:tr w14:paraId="004F2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0F3C0">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1" w:name="_Toc9644"/>
            <w:r>
              <w:rPr>
                <w:rFonts w:hint="default" w:ascii="Times New Roman" w:hAnsi="Times New Roman" w:eastAsia="仿宋" w:cs="Times New Roman"/>
                <w:b w:val="0"/>
                <w:bCs w:val="0"/>
                <w:sz w:val="21"/>
                <w:szCs w:val="21"/>
                <w:lang w:val="en-US" w:eastAsia="zh-CN"/>
              </w:rPr>
              <w:t>容积率</w:t>
            </w:r>
            <w:bookmarkEnd w:id="61"/>
          </w:p>
        </w:tc>
        <w:tc>
          <w:tcPr>
            <w:tcW w:w="548" w:type="pct"/>
            <w:tcBorders>
              <w:top w:val="nil"/>
              <w:left w:val="nil"/>
              <w:bottom w:val="single" w:color="000000" w:sz="8" w:space="0"/>
              <w:right w:val="single" w:color="000000" w:sz="8" w:space="0"/>
            </w:tcBorders>
            <w:shd w:val="clear" w:color="auto" w:fill="auto"/>
            <w:vAlign w:val="center"/>
          </w:tcPr>
          <w:p w14:paraId="727A752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2" w:name="_Toc21000"/>
            <w:r>
              <w:rPr>
                <w:rFonts w:hint="default" w:ascii="Times New Roman" w:hAnsi="Times New Roman" w:eastAsia="仿宋" w:cs="Times New Roman"/>
                <w:b w:val="0"/>
                <w:bCs w:val="0"/>
                <w:sz w:val="21"/>
                <w:szCs w:val="21"/>
                <w:lang w:val="en-US" w:eastAsia="zh-CN"/>
              </w:rPr>
              <w:t>1.3</w:t>
            </w:r>
            <w:bookmarkEnd w:id="62"/>
          </w:p>
        </w:tc>
        <w:tc>
          <w:tcPr>
            <w:tcW w:w="548" w:type="pct"/>
            <w:tcBorders>
              <w:top w:val="nil"/>
              <w:left w:val="nil"/>
              <w:bottom w:val="single" w:color="000000" w:sz="8" w:space="0"/>
              <w:right w:val="single" w:color="000000" w:sz="8" w:space="0"/>
            </w:tcBorders>
            <w:shd w:val="clear" w:color="auto" w:fill="auto"/>
            <w:vAlign w:val="center"/>
          </w:tcPr>
          <w:p w14:paraId="6DE1139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3" w:name="_Toc9976"/>
            <w:r>
              <w:rPr>
                <w:rFonts w:hint="default" w:ascii="Times New Roman" w:hAnsi="Times New Roman" w:eastAsia="仿宋" w:cs="Times New Roman"/>
                <w:b w:val="0"/>
                <w:bCs w:val="0"/>
                <w:sz w:val="21"/>
                <w:szCs w:val="21"/>
                <w:lang w:val="en-US" w:eastAsia="zh-CN"/>
              </w:rPr>
              <w:t>1.4</w:t>
            </w:r>
            <w:bookmarkEnd w:id="63"/>
          </w:p>
        </w:tc>
        <w:tc>
          <w:tcPr>
            <w:tcW w:w="548" w:type="pct"/>
            <w:tcBorders>
              <w:top w:val="nil"/>
              <w:left w:val="nil"/>
              <w:bottom w:val="single" w:color="000000" w:sz="8" w:space="0"/>
              <w:right w:val="single" w:color="000000" w:sz="8" w:space="0"/>
            </w:tcBorders>
            <w:shd w:val="clear" w:color="auto" w:fill="auto"/>
            <w:vAlign w:val="center"/>
          </w:tcPr>
          <w:p w14:paraId="28D985EE">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4" w:name="_Toc10122"/>
            <w:r>
              <w:rPr>
                <w:rFonts w:hint="default" w:ascii="Times New Roman" w:hAnsi="Times New Roman" w:eastAsia="仿宋" w:cs="Times New Roman"/>
                <w:b w:val="0"/>
                <w:bCs w:val="0"/>
                <w:sz w:val="21"/>
                <w:szCs w:val="21"/>
                <w:lang w:val="en-US" w:eastAsia="zh-CN"/>
              </w:rPr>
              <w:t>1.5</w:t>
            </w:r>
            <w:bookmarkEnd w:id="64"/>
          </w:p>
        </w:tc>
        <w:tc>
          <w:tcPr>
            <w:tcW w:w="548" w:type="pct"/>
            <w:tcBorders>
              <w:top w:val="nil"/>
              <w:left w:val="nil"/>
              <w:bottom w:val="single" w:color="000000" w:sz="8" w:space="0"/>
              <w:right w:val="single" w:color="000000" w:sz="8" w:space="0"/>
            </w:tcBorders>
            <w:shd w:val="clear" w:color="auto" w:fill="auto"/>
            <w:vAlign w:val="center"/>
          </w:tcPr>
          <w:p w14:paraId="082158B0">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5" w:name="_Toc16223"/>
            <w:r>
              <w:rPr>
                <w:rFonts w:hint="default" w:ascii="Times New Roman" w:hAnsi="Times New Roman" w:eastAsia="仿宋" w:cs="Times New Roman"/>
                <w:b w:val="0"/>
                <w:bCs w:val="0"/>
                <w:sz w:val="21"/>
                <w:szCs w:val="21"/>
                <w:lang w:val="en-US" w:eastAsia="zh-CN"/>
              </w:rPr>
              <w:t>1.6</w:t>
            </w:r>
            <w:bookmarkEnd w:id="65"/>
          </w:p>
        </w:tc>
        <w:tc>
          <w:tcPr>
            <w:tcW w:w="548" w:type="pct"/>
            <w:tcBorders>
              <w:top w:val="nil"/>
              <w:left w:val="nil"/>
              <w:bottom w:val="single" w:color="000000" w:sz="8" w:space="0"/>
              <w:right w:val="single" w:color="000000" w:sz="8" w:space="0"/>
            </w:tcBorders>
            <w:shd w:val="clear" w:color="auto" w:fill="auto"/>
            <w:vAlign w:val="center"/>
          </w:tcPr>
          <w:p w14:paraId="23C2BEE2">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6" w:name="_Toc9267"/>
            <w:r>
              <w:rPr>
                <w:rFonts w:hint="default" w:ascii="Times New Roman" w:hAnsi="Times New Roman" w:eastAsia="仿宋" w:cs="Times New Roman"/>
                <w:b w:val="0"/>
                <w:bCs w:val="0"/>
                <w:sz w:val="21"/>
                <w:szCs w:val="21"/>
                <w:lang w:val="en-US" w:eastAsia="zh-CN"/>
              </w:rPr>
              <w:t>1.7</w:t>
            </w:r>
            <w:bookmarkEnd w:id="66"/>
          </w:p>
        </w:tc>
        <w:tc>
          <w:tcPr>
            <w:tcW w:w="548" w:type="pct"/>
            <w:tcBorders>
              <w:top w:val="nil"/>
              <w:left w:val="nil"/>
              <w:bottom w:val="single" w:color="000000" w:sz="8" w:space="0"/>
              <w:right w:val="single" w:color="000000" w:sz="8" w:space="0"/>
            </w:tcBorders>
            <w:shd w:val="clear" w:color="auto" w:fill="auto"/>
            <w:vAlign w:val="center"/>
          </w:tcPr>
          <w:p w14:paraId="73B3F69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7" w:name="_Toc17899"/>
            <w:r>
              <w:rPr>
                <w:rFonts w:hint="default" w:ascii="Times New Roman" w:hAnsi="Times New Roman" w:eastAsia="仿宋" w:cs="Times New Roman"/>
                <w:b w:val="0"/>
                <w:bCs w:val="0"/>
                <w:sz w:val="21"/>
                <w:szCs w:val="21"/>
                <w:lang w:val="en-US" w:eastAsia="zh-CN"/>
              </w:rPr>
              <w:t>1.8</w:t>
            </w:r>
            <w:bookmarkEnd w:id="67"/>
          </w:p>
        </w:tc>
        <w:tc>
          <w:tcPr>
            <w:tcW w:w="548" w:type="pct"/>
            <w:tcBorders>
              <w:top w:val="nil"/>
              <w:left w:val="nil"/>
              <w:bottom w:val="single" w:color="000000" w:sz="8" w:space="0"/>
              <w:right w:val="single" w:color="000000" w:sz="8" w:space="0"/>
            </w:tcBorders>
            <w:shd w:val="clear" w:color="auto" w:fill="auto"/>
            <w:vAlign w:val="center"/>
          </w:tcPr>
          <w:p w14:paraId="4A07867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8" w:name="_Toc12435"/>
            <w:r>
              <w:rPr>
                <w:rFonts w:hint="default" w:ascii="Times New Roman" w:hAnsi="Times New Roman" w:eastAsia="仿宋" w:cs="Times New Roman"/>
                <w:b w:val="0"/>
                <w:bCs w:val="0"/>
                <w:sz w:val="21"/>
                <w:szCs w:val="21"/>
                <w:lang w:val="en-US" w:eastAsia="zh-CN"/>
              </w:rPr>
              <w:t>1.9</w:t>
            </w:r>
            <w:bookmarkEnd w:id="68"/>
          </w:p>
        </w:tc>
        <w:tc>
          <w:tcPr>
            <w:tcW w:w="553" w:type="pct"/>
            <w:tcBorders>
              <w:top w:val="nil"/>
              <w:left w:val="nil"/>
              <w:bottom w:val="single" w:color="000000" w:sz="8" w:space="0"/>
              <w:right w:val="single" w:color="000000" w:sz="8" w:space="0"/>
            </w:tcBorders>
            <w:shd w:val="clear" w:color="auto" w:fill="auto"/>
            <w:vAlign w:val="center"/>
          </w:tcPr>
          <w:p w14:paraId="1D098B22">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69" w:name="_Toc32732"/>
            <w:r>
              <w:rPr>
                <w:rFonts w:hint="default" w:ascii="Times New Roman" w:hAnsi="Times New Roman" w:eastAsia="仿宋" w:cs="Times New Roman"/>
                <w:b w:val="0"/>
                <w:bCs w:val="0"/>
                <w:sz w:val="21"/>
                <w:szCs w:val="21"/>
                <w:lang w:val="en-US" w:eastAsia="zh-CN"/>
              </w:rPr>
              <w:t>2</w:t>
            </w:r>
            <w:bookmarkEnd w:id="69"/>
          </w:p>
        </w:tc>
      </w:tr>
      <w:tr w14:paraId="3DE6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17CF">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0" w:name="_Toc10290"/>
            <w:r>
              <w:rPr>
                <w:rFonts w:hint="default" w:ascii="Times New Roman" w:hAnsi="Times New Roman" w:eastAsia="仿宋" w:cs="Times New Roman"/>
                <w:b w:val="0"/>
                <w:bCs w:val="0"/>
                <w:sz w:val="21"/>
                <w:szCs w:val="21"/>
                <w:lang w:val="en-US" w:eastAsia="zh-CN"/>
              </w:rPr>
              <w:t>修正系数</w:t>
            </w:r>
            <w:bookmarkEnd w:id="70"/>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99E00">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1" w:name="_Toc24785"/>
            <w:r>
              <w:rPr>
                <w:rFonts w:hint="default" w:ascii="Times New Roman" w:hAnsi="Times New Roman" w:eastAsia="仿宋" w:cs="Times New Roman"/>
                <w:b w:val="0"/>
                <w:bCs w:val="0"/>
                <w:sz w:val="21"/>
                <w:szCs w:val="21"/>
                <w:lang w:val="en-US" w:eastAsia="zh-CN"/>
              </w:rPr>
              <w:t>1.0637</w:t>
            </w:r>
            <w:bookmarkEnd w:id="71"/>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76A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2" w:name="_Toc1406"/>
            <w:r>
              <w:rPr>
                <w:rFonts w:hint="default" w:ascii="Times New Roman" w:hAnsi="Times New Roman" w:eastAsia="仿宋" w:cs="Times New Roman"/>
                <w:b w:val="0"/>
                <w:bCs w:val="0"/>
                <w:sz w:val="21"/>
                <w:szCs w:val="21"/>
                <w:lang w:val="en-US" w:eastAsia="zh-CN"/>
              </w:rPr>
              <w:t>1.0679</w:t>
            </w:r>
            <w:bookmarkEnd w:id="72"/>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DB8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3" w:name="_Toc16778"/>
            <w:r>
              <w:rPr>
                <w:rFonts w:hint="default" w:ascii="Times New Roman" w:hAnsi="Times New Roman" w:eastAsia="仿宋" w:cs="Times New Roman"/>
                <w:b w:val="0"/>
                <w:bCs w:val="0"/>
                <w:sz w:val="21"/>
                <w:szCs w:val="21"/>
                <w:lang w:val="en-US" w:eastAsia="zh-CN"/>
              </w:rPr>
              <w:t>1.0924</w:t>
            </w:r>
            <w:bookmarkEnd w:id="73"/>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23A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4" w:name="_Toc3614"/>
            <w:r>
              <w:rPr>
                <w:rFonts w:hint="default" w:ascii="Times New Roman" w:hAnsi="Times New Roman" w:eastAsia="仿宋" w:cs="Times New Roman"/>
                <w:b w:val="0"/>
                <w:bCs w:val="0"/>
                <w:sz w:val="21"/>
                <w:szCs w:val="21"/>
                <w:lang w:val="en-US" w:eastAsia="zh-CN"/>
              </w:rPr>
              <w:t>1.1227</w:t>
            </w:r>
            <w:bookmarkEnd w:id="74"/>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43F6">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5" w:name="_Toc26989"/>
            <w:r>
              <w:rPr>
                <w:rFonts w:hint="default" w:ascii="Times New Roman" w:hAnsi="Times New Roman" w:eastAsia="仿宋" w:cs="Times New Roman"/>
                <w:b w:val="0"/>
                <w:bCs w:val="0"/>
                <w:sz w:val="21"/>
                <w:szCs w:val="21"/>
                <w:lang w:val="en-US" w:eastAsia="zh-CN"/>
              </w:rPr>
              <w:t>1.1460</w:t>
            </w:r>
            <w:bookmarkEnd w:id="75"/>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BD07C">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6" w:name="_Toc2765"/>
            <w:r>
              <w:rPr>
                <w:rFonts w:hint="default" w:ascii="Times New Roman" w:hAnsi="Times New Roman" w:eastAsia="仿宋" w:cs="Times New Roman"/>
                <w:b w:val="0"/>
                <w:bCs w:val="0"/>
                <w:sz w:val="21"/>
                <w:szCs w:val="21"/>
                <w:lang w:val="en-US" w:eastAsia="zh-CN"/>
              </w:rPr>
              <w:t>1.1722</w:t>
            </w:r>
            <w:bookmarkEnd w:id="76"/>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37A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7" w:name="_Toc26991"/>
            <w:r>
              <w:rPr>
                <w:rFonts w:hint="default" w:ascii="Times New Roman" w:hAnsi="Times New Roman" w:eastAsia="仿宋" w:cs="Times New Roman"/>
                <w:b w:val="0"/>
                <w:bCs w:val="0"/>
                <w:sz w:val="21"/>
                <w:szCs w:val="21"/>
                <w:lang w:val="en-US" w:eastAsia="zh-CN"/>
              </w:rPr>
              <w:t>1.2012</w:t>
            </w:r>
            <w:bookmarkEnd w:id="77"/>
            <w:r>
              <w:rPr>
                <w:rFonts w:hint="default" w:ascii="Times New Roman" w:hAnsi="Times New Roman" w:eastAsia="仿宋" w:cs="Times New Roman"/>
                <w:b w:val="0"/>
                <w:bCs w:val="0"/>
                <w:sz w:val="21"/>
                <w:szCs w:val="21"/>
                <w:lang w:val="en-US" w:eastAsia="zh-CN"/>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AD8B9">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8" w:name="_Toc12084"/>
            <w:r>
              <w:rPr>
                <w:rFonts w:hint="default" w:ascii="Times New Roman" w:hAnsi="Times New Roman" w:eastAsia="仿宋" w:cs="Times New Roman"/>
                <w:b w:val="0"/>
                <w:bCs w:val="0"/>
                <w:sz w:val="21"/>
                <w:szCs w:val="21"/>
                <w:lang w:val="en-US" w:eastAsia="zh-CN"/>
              </w:rPr>
              <w:t>1.2258</w:t>
            </w:r>
            <w:bookmarkEnd w:id="78"/>
            <w:r>
              <w:rPr>
                <w:rFonts w:hint="default" w:ascii="Times New Roman" w:hAnsi="Times New Roman" w:eastAsia="仿宋" w:cs="Times New Roman"/>
                <w:b w:val="0"/>
                <w:bCs w:val="0"/>
                <w:sz w:val="21"/>
                <w:szCs w:val="21"/>
                <w:lang w:val="en-US" w:eastAsia="zh-CN"/>
              </w:rPr>
              <w:t xml:space="preserve"> </w:t>
            </w:r>
          </w:p>
        </w:tc>
      </w:tr>
      <w:tr w14:paraId="6B66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403B">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79" w:name="_Toc14676"/>
            <w:r>
              <w:rPr>
                <w:rFonts w:hint="default" w:ascii="Times New Roman" w:hAnsi="Times New Roman" w:eastAsia="仿宋" w:cs="Times New Roman"/>
                <w:b w:val="0"/>
                <w:bCs w:val="0"/>
                <w:sz w:val="21"/>
                <w:szCs w:val="21"/>
                <w:lang w:val="en-US" w:eastAsia="zh-CN"/>
              </w:rPr>
              <w:t>容积率</w:t>
            </w:r>
            <w:bookmarkEnd w:id="79"/>
          </w:p>
        </w:tc>
        <w:tc>
          <w:tcPr>
            <w:tcW w:w="54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B860B2">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0" w:name="_Toc27812"/>
            <w:r>
              <w:rPr>
                <w:rFonts w:hint="default" w:ascii="Times New Roman" w:hAnsi="Times New Roman" w:eastAsia="仿宋" w:cs="Times New Roman"/>
                <w:b w:val="0"/>
                <w:bCs w:val="0"/>
                <w:sz w:val="21"/>
                <w:szCs w:val="21"/>
                <w:lang w:val="en-US" w:eastAsia="zh-CN"/>
              </w:rPr>
              <w:t>2.1</w:t>
            </w:r>
            <w:bookmarkEnd w:id="80"/>
          </w:p>
        </w:tc>
        <w:tc>
          <w:tcPr>
            <w:tcW w:w="548" w:type="pct"/>
            <w:tcBorders>
              <w:top w:val="single" w:color="000000" w:sz="8" w:space="0"/>
              <w:left w:val="nil"/>
              <w:bottom w:val="single" w:color="000000" w:sz="8" w:space="0"/>
              <w:right w:val="single" w:color="000000" w:sz="8" w:space="0"/>
            </w:tcBorders>
            <w:shd w:val="clear" w:color="auto" w:fill="auto"/>
            <w:vAlign w:val="center"/>
          </w:tcPr>
          <w:p w14:paraId="1B629555">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1" w:name="_Toc19838"/>
            <w:r>
              <w:rPr>
                <w:rFonts w:hint="default" w:ascii="Times New Roman" w:hAnsi="Times New Roman" w:eastAsia="仿宋" w:cs="Times New Roman"/>
                <w:b w:val="0"/>
                <w:bCs w:val="0"/>
                <w:sz w:val="21"/>
                <w:szCs w:val="21"/>
                <w:lang w:val="en-US" w:eastAsia="zh-CN"/>
              </w:rPr>
              <w:t>2.2</w:t>
            </w:r>
            <w:bookmarkEnd w:id="81"/>
          </w:p>
        </w:tc>
        <w:tc>
          <w:tcPr>
            <w:tcW w:w="548" w:type="pct"/>
            <w:tcBorders>
              <w:top w:val="single" w:color="000000" w:sz="8" w:space="0"/>
              <w:left w:val="nil"/>
              <w:bottom w:val="single" w:color="000000" w:sz="8" w:space="0"/>
              <w:right w:val="single" w:color="000000" w:sz="8" w:space="0"/>
            </w:tcBorders>
            <w:shd w:val="clear" w:color="auto" w:fill="auto"/>
            <w:vAlign w:val="center"/>
          </w:tcPr>
          <w:p w14:paraId="2C35D61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2" w:name="_Toc11201"/>
            <w:r>
              <w:rPr>
                <w:rFonts w:hint="default" w:ascii="Times New Roman" w:hAnsi="Times New Roman" w:eastAsia="仿宋" w:cs="Times New Roman"/>
                <w:b w:val="0"/>
                <w:bCs w:val="0"/>
                <w:sz w:val="21"/>
                <w:szCs w:val="21"/>
                <w:lang w:val="en-US" w:eastAsia="zh-CN"/>
              </w:rPr>
              <w:t>2.3</w:t>
            </w:r>
            <w:bookmarkEnd w:id="82"/>
          </w:p>
        </w:tc>
        <w:tc>
          <w:tcPr>
            <w:tcW w:w="548" w:type="pct"/>
            <w:tcBorders>
              <w:top w:val="single" w:color="000000" w:sz="8" w:space="0"/>
              <w:left w:val="nil"/>
              <w:bottom w:val="single" w:color="000000" w:sz="8" w:space="0"/>
              <w:right w:val="single" w:color="000000" w:sz="8" w:space="0"/>
            </w:tcBorders>
            <w:shd w:val="clear" w:color="auto" w:fill="auto"/>
            <w:vAlign w:val="center"/>
          </w:tcPr>
          <w:p w14:paraId="2B928F7F">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3" w:name="_Toc31479"/>
            <w:r>
              <w:rPr>
                <w:rFonts w:hint="default" w:ascii="Times New Roman" w:hAnsi="Times New Roman" w:eastAsia="仿宋" w:cs="Times New Roman"/>
                <w:b w:val="0"/>
                <w:bCs w:val="0"/>
                <w:sz w:val="21"/>
                <w:szCs w:val="21"/>
                <w:lang w:val="en-US" w:eastAsia="zh-CN"/>
              </w:rPr>
              <w:t>2.4</w:t>
            </w:r>
            <w:bookmarkEnd w:id="83"/>
          </w:p>
        </w:tc>
        <w:tc>
          <w:tcPr>
            <w:tcW w:w="548" w:type="pct"/>
            <w:tcBorders>
              <w:top w:val="single" w:color="000000" w:sz="8" w:space="0"/>
              <w:left w:val="nil"/>
              <w:bottom w:val="single" w:color="000000" w:sz="8" w:space="0"/>
              <w:right w:val="single" w:color="000000" w:sz="8" w:space="0"/>
            </w:tcBorders>
            <w:shd w:val="clear" w:color="auto" w:fill="auto"/>
            <w:vAlign w:val="center"/>
          </w:tcPr>
          <w:p w14:paraId="0FDE4475">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4" w:name="_Toc18950"/>
            <w:r>
              <w:rPr>
                <w:rFonts w:hint="default" w:ascii="Times New Roman" w:hAnsi="Times New Roman" w:eastAsia="仿宋" w:cs="Times New Roman"/>
                <w:b w:val="0"/>
                <w:bCs w:val="0"/>
                <w:sz w:val="21"/>
                <w:szCs w:val="21"/>
                <w:lang w:val="en-US" w:eastAsia="zh-CN"/>
              </w:rPr>
              <w:t>2.5</w:t>
            </w:r>
            <w:bookmarkEnd w:id="84"/>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4718">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5" w:name="_Toc30384"/>
            <w:r>
              <w:rPr>
                <w:rFonts w:hint="default" w:ascii="Times New Roman" w:hAnsi="Times New Roman" w:eastAsia="仿宋" w:cs="Times New Roman"/>
                <w:b w:val="0"/>
                <w:bCs w:val="0"/>
                <w:sz w:val="21"/>
                <w:szCs w:val="21"/>
                <w:lang w:val="en-US" w:eastAsia="zh-CN"/>
              </w:rPr>
              <w:t>2.6</w:t>
            </w:r>
            <w:bookmarkEnd w:id="85"/>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3E8E5">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6" w:name="_Toc29537"/>
            <w:r>
              <w:rPr>
                <w:rFonts w:hint="default" w:ascii="Times New Roman" w:hAnsi="Times New Roman" w:eastAsia="仿宋" w:cs="Times New Roman"/>
                <w:b w:val="0"/>
                <w:bCs w:val="0"/>
                <w:sz w:val="21"/>
                <w:szCs w:val="21"/>
                <w:lang w:val="en-US" w:eastAsia="zh-CN"/>
              </w:rPr>
              <w:t>2.7</w:t>
            </w:r>
            <w:bookmarkEnd w:id="86"/>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E0435">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7" w:name="_Toc17589"/>
            <w:r>
              <w:rPr>
                <w:rFonts w:hint="default" w:ascii="Times New Roman" w:hAnsi="Times New Roman" w:eastAsia="仿宋" w:cs="Times New Roman"/>
                <w:b w:val="0"/>
                <w:bCs w:val="0"/>
                <w:sz w:val="21"/>
                <w:szCs w:val="21"/>
                <w:lang w:val="en-US" w:eastAsia="zh-CN"/>
              </w:rPr>
              <w:t>2.8</w:t>
            </w:r>
            <w:bookmarkEnd w:id="87"/>
          </w:p>
        </w:tc>
      </w:tr>
      <w:tr w14:paraId="375E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780E">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8" w:name="_Toc19503"/>
            <w:r>
              <w:rPr>
                <w:rFonts w:hint="default" w:ascii="Times New Roman" w:hAnsi="Times New Roman" w:eastAsia="仿宋" w:cs="Times New Roman"/>
                <w:b w:val="0"/>
                <w:bCs w:val="0"/>
                <w:sz w:val="21"/>
                <w:szCs w:val="21"/>
                <w:lang w:val="en-US" w:eastAsia="zh-CN"/>
              </w:rPr>
              <w:t>修正系数</w:t>
            </w:r>
            <w:bookmarkEnd w:id="88"/>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EFDA">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89" w:name="_Toc3664"/>
            <w:r>
              <w:rPr>
                <w:rFonts w:hint="default" w:ascii="Times New Roman" w:hAnsi="Times New Roman" w:eastAsia="仿宋" w:cs="Times New Roman"/>
                <w:b w:val="0"/>
                <w:bCs w:val="0"/>
                <w:sz w:val="21"/>
                <w:szCs w:val="21"/>
                <w:lang w:val="en-US" w:eastAsia="zh-CN"/>
              </w:rPr>
              <w:t>1.2522</w:t>
            </w:r>
            <w:bookmarkEnd w:id="89"/>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8473D">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0" w:name="_Toc4582"/>
            <w:r>
              <w:rPr>
                <w:rFonts w:hint="default" w:ascii="Times New Roman" w:hAnsi="Times New Roman" w:eastAsia="仿宋" w:cs="Times New Roman"/>
                <w:b w:val="0"/>
                <w:bCs w:val="0"/>
                <w:sz w:val="21"/>
                <w:szCs w:val="21"/>
                <w:lang w:val="en-US" w:eastAsia="zh-CN"/>
              </w:rPr>
              <w:t>1.2907</w:t>
            </w:r>
            <w:bookmarkEnd w:id="90"/>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4E2F6">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1" w:name="_Toc10149"/>
            <w:r>
              <w:rPr>
                <w:rFonts w:hint="default" w:ascii="Times New Roman" w:hAnsi="Times New Roman" w:eastAsia="仿宋" w:cs="Times New Roman"/>
                <w:b w:val="0"/>
                <w:bCs w:val="0"/>
                <w:sz w:val="21"/>
                <w:szCs w:val="21"/>
                <w:lang w:val="en-US" w:eastAsia="zh-CN"/>
              </w:rPr>
              <w:t>1.3187</w:t>
            </w:r>
            <w:bookmarkEnd w:id="91"/>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62DF">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2" w:name="_Toc17177"/>
            <w:r>
              <w:rPr>
                <w:rFonts w:hint="default" w:ascii="Times New Roman" w:hAnsi="Times New Roman" w:eastAsia="仿宋" w:cs="Times New Roman"/>
                <w:b w:val="0"/>
                <w:bCs w:val="0"/>
                <w:sz w:val="21"/>
                <w:szCs w:val="21"/>
                <w:lang w:val="en-US" w:eastAsia="zh-CN"/>
              </w:rPr>
              <w:t>1.3570</w:t>
            </w:r>
            <w:bookmarkEnd w:id="92"/>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084C6">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3" w:name="_Toc30934"/>
            <w:r>
              <w:rPr>
                <w:rFonts w:hint="default" w:ascii="Times New Roman" w:hAnsi="Times New Roman" w:eastAsia="仿宋" w:cs="Times New Roman"/>
                <w:b w:val="0"/>
                <w:bCs w:val="0"/>
                <w:sz w:val="21"/>
                <w:szCs w:val="21"/>
                <w:lang w:val="en-US" w:eastAsia="zh-CN"/>
              </w:rPr>
              <w:t>1.4035</w:t>
            </w:r>
            <w:bookmarkEnd w:id="93"/>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A67C">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4" w:name="_Toc9408"/>
            <w:r>
              <w:rPr>
                <w:rFonts w:hint="default" w:ascii="Times New Roman" w:hAnsi="Times New Roman" w:eastAsia="仿宋" w:cs="Times New Roman"/>
                <w:b w:val="0"/>
                <w:bCs w:val="0"/>
                <w:sz w:val="21"/>
                <w:szCs w:val="21"/>
                <w:lang w:val="en-US" w:eastAsia="zh-CN"/>
              </w:rPr>
              <w:t>1.4168</w:t>
            </w:r>
            <w:bookmarkEnd w:id="94"/>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61EE">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5" w:name="_Toc18768"/>
            <w:r>
              <w:rPr>
                <w:rFonts w:hint="default" w:ascii="Times New Roman" w:hAnsi="Times New Roman" w:eastAsia="仿宋" w:cs="Times New Roman"/>
                <w:b w:val="0"/>
                <w:bCs w:val="0"/>
                <w:sz w:val="21"/>
                <w:szCs w:val="21"/>
                <w:lang w:val="en-US" w:eastAsia="zh-CN"/>
              </w:rPr>
              <w:t>1.4314</w:t>
            </w:r>
            <w:bookmarkEnd w:id="95"/>
            <w:r>
              <w:rPr>
                <w:rFonts w:hint="default" w:ascii="Times New Roman" w:hAnsi="Times New Roman" w:eastAsia="仿宋" w:cs="Times New Roman"/>
                <w:b w:val="0"/>
                <w:bCs w:val="0"/>
                <w:sz w:val="21"/>
                <w:szCs w:val="21"/>
                <w:lang w:val="en-US" w:eastAsia="zh-CN"/>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C979">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6" w:name="_Toc14809"/>
            <w:r>
              <w:rPr>
                <w:rFonts w:hint="default" w:ascii="Times New Roman" w:hAnsi="Times New Roman" w:eastAsia="仿宋" w:cs="Times New Roman"/>
                <w:b w:val="0"/>
                <w:bCs w:val="0"/>
                <w:sz w:val="21"/>
                <w:szCs w:val="21"/>
                <w:lang w:val="en-US" w:eastAsia="zh-CN"/>
              </w:rPr>
              <w:t>1.4819</w:t>
            </w:r>
            <w:bookmarkEnd w:id="96"/>
            <w:r>
              <w:rPr>
                <w:rFonts w:hint="default" w:ascii="Times New Roman" w:hAnsi="Times New Roman" w:eastAsia="仿宋" w:cs="Times New Roman"/>
                <w:b w:val="0"/>
                <w:bCs w:val="0"/>
                <w:sz w:val="21"/>
                <w:szCs w:val="21"/>
                <w:lang w:val="en-US" w:eastAsia="zh-CN"/>
              </w:rPr>
              <w:t xml:space="preserve"> </w:t>
            </w:r>
          </w:p>
        </w:tc>
      </w:tr>
      <w:tr w14:paraId="40230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3A09">
            <w:pPr>
              <w:spacing w:line="240" w:lineRule="auto"/>
              <w:ind w:right="0" w:rightChars="0" w:firstLine="0" w:firstLineChars="0"/>
              <w:jc w:val="center"/>
              <w:rPr>
                <w:rFonts w:hint="default" w:ascii="Times New Roman" w:hAnsi="Times New Roman" w:eastAsia="仿宋" w:cs="Times New Roman"/>
                <w:b w:val="0"/>
                <w:bCs w:val="0"/>
                <w:sz w:val="21"/>
                <w:szCs w:val="21"/>
                <w:lang w:val="en-US" w:eastAsia="zh-CN"/>
              </w:rPr>
            </w:pPr>
            <w:bookmarkStart w:id="97" w:name="_Toc12320"/>
            <w:r>
              <w:rPr>
                <w:rFonts w:hint="default" w:ascii="Times New Roman" w:hAnsi="Times New Roman" w:eastAsia="仿宋" w:cs="Times New Roman"/>
                <w:b w:val="0"/>
                <w:bCs w:val="0"/>
                <w:sz w:val="21"/>
                <w:szCs w:val="21"/>
                <w:lang w:val="en-US" w:eastAsia="zh-CN"/>
              </w:rPr>
              <w:t>容积率</w:t>
            </w:r>
            <w:bookmarkEnd w:id="97"/>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80B1">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8" w:name="_Toc26930"/>
            <w:r>
              <w:rPr>
                <w:rFonts w:hint="default" w:ascii="Times New Roman" w:hAnsi="Times New Roman" w:eastAsia="仿宋" w:cs="Times New Roman"/>
                <w:b w:val="0"/>
                <w:bCs w:val="0"/>
                <w:sz w:val="21"/>
                <w:szCs w:val="21"/>
                <w:lang w:val="en-US" w:eastAsia="zh-CN"/>
              </w:rPr>
              <w:t>2.9</w:t>
            </w:r>
            <w:bookmarkEnd w:id="98"/>
          </w:p>
        </w:tc>
        <w:tc>
          <w:tcPr>
            <w:tcW w:w="548" w:type="pct"/>
            <w:tcBorders>
              <w:top w:val="single" w:color="000000" w:sz="8" w:space="0"/>
              <w:left w:val="nil"/>
              <w:bottom w:val="single" w:color="000000" w:sz="8" w:space="0"/>
              <w:right w:val="single" w:color="000000" w:sz="8" w:space="0"/>
            </w:tcBorders>
            <w:shd w:val="clear" w:color="auto" w:fill="auto"/>
            <w:vAlign w:val="center"/>
          </w:tcPr>
          <w:p w14:paraId="079EDA7D">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99" w:name="_Toc17979"/>
            <w:r>
              <w:rPr>
                <w:rFonts w:hint="default" w:ascii="Times New Roman" w:hAnsi="Times New Roman" w:eastAsia="仿宋" w:cs="Times New Roman"/>
                <w:b w:val="0"/>
                <w:bCs w:val="0"/>
                <w:sz w:val="21"/>
                <w:szCs w:val="21"/>
                <w:lang w:val="en-US" w:eastAsia="zh-CN"/>
              </w:rPr>
              <w:t>≥3</w:t>
            </w:r>
            <w:bookmarkEnd w:id="99"/>
          </w:p>
        </w:tc>
        <w:tc>
          <w:tcPr>
            <w:tcW w:w="3293" w:type="pct"/>
            <w:gridSpan w:val="6"/>
            <w:vMerge w:val="restart"/>
            <w:tcBorders>
              <w:top w:val="single" w:color="000000" w:sz="4" w:space="0"/>
              <w:left w:val="single" w:color="000000" w:sz="4" w:space="0"/>
              <w:right w:val="single" w:color="000000" w:sz="4" w:space="0"/>
            </w:tcBorders>
            <w:shd w:val="clear" w:color="auto" w:fill="auto"/>
            <w:vAlign w:val="center"/>
          </w:tcPr>
          <w:p w14:paraId="3B4F7019">
            <w:pPr>
              <w:spacing w:line="240" w:lineRule="auto"/>
              <w:ind w:firstLine="0" w:firstLineChars="0"/>
              <w:jc w:val="center"/>
              <w:rPr>
                <w:rFonts w:hint="default" w:ascii="Times New Roman" w:hAnsi="Times New Roman" w:eastAsia="仿宋" w:cs="Times New Roman"/>
                <w:b w:val="0"/>
                <w:bCs w:val="0"/>
                <w:sz w:val="21"/>
                <w:szCs w:val="21"/>
                <w:lang w:val="en-US" w:eastAsia="zh-CN"/>
              </w:rPr>
            </w:pPr>
          </w:p>
        </w:tc>
      </w:tr>
      <w:tr w14:paraId="2C852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FF40E">
            <w:pPr>
              <w:spacing w:line="240" w:lineRule="auto"/>
              <w:ind w:right="0" w:rightChars="0" w:firstLine="0" w:firstLineChars="0"/>
              <w:jc w:val="center"/>
              <w:rPr>
                <w:rFonts w:hint="default" w:ascii="Times New Roman" w:hAnsi="Times New Roman" w:eastAsia="仿宋" w:cs="Times New Roman"/>
                <w:b w:val="0"/>
                <w:bCs w:val="0"/>
                <w:sz w:val="21"/>
                <w:szCs w:val="21"/>
                <w:lang w:val="en-US" w:eastAsia="zh-CN"/>
              </w:rPr>
            </w:pPr>
            <w:bookmarkStart w:id="100" w:name="_Toc17048"/>
            <w:r>
              <w:rPr>
                <w:rFonts w:hint="default" w:ascii="Times New Roman" w:hAnsi="Times New Roman" w:eastAsia="仿宋" w:cs="Times New Roman"/>
                <w:b w:val="0"/>
                <w:bCs w:val="0"/>
                <w:sz w:val="21"/>
                <w:szCs w:val="21"/>
                <w:lang w:val="en-US" w:eastAsia="zh-CN"/>
              </w:rPr>
              <w:t>修正系数</w:t>
            </w:r>
            <w:bookmarkEnd w:id="100"/>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2FE3">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101" w:name="_Toc20104"/>
            <w:r>
              <w:rPr>
                <w:rFonts w:hint="default" w:ascii="Times New Roman" w:hAnsi="Times New Roman" w:eastAsia="仿宋" w:cs="Times New Roman"/>
                <w:b w:val="0"/>
                <w:bCs w:val="0"/>
                <w:sz w:val="21"/>
                <w:szCs w:val="21"/>
                <w:lang w:val="en-US" w:eastAsia="zh-CN"/>
              </w:rPr>
              <w:t>1.4963</w:t>
            </w:r>
            <w:bookmarkEnd w:id="101"/>
            <w:r>
              <w:rPr>
                <w:rFonts w:hint="default" w:ascii="Times New Roman" w:hAnsi="Times New Roman" w:eastAsia="仿宋" w:cs="Times New Roman"/>
                <w:b w:val="0"/>
                <w:bCs w:val="0"/>
                <w:sz w:val="21"/>
                <w:szCs w:val="21"/>
                <w:lang w:val="en-US" w:eastAsia="zh-CN"/>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D07E">
            <w:pPr>
              <w:spacing w:line="240" w:lineRule="auto"/>
              <w:ind w:firstLine="0" w:firstLineChars="0"/>
              <w:jc w:val="center"/>
              <w:rPr>
                <w:rFonts w:hint="default" w:ascii="Times New Roman" w:hAnsi="Times New Roman" w:eastAsia="仿宋" w:cs="Times New Roman"/>
                <w:b w:val="0"/>
                <w:bCs w:val="0"/>
                <w:sz w:val="21"/>
                <w:szCs w:val="21"/>
                <w:lang w:val="en-US" w:eastAsia="zh-CN"/>
              </w:rPr>
            </w:pPr>
            <w:bookmarkStart w:id="102" w:name="_Toc13650"/>
            <w:r>
              <w:rPr>
                <w:rFonts w:hint="default" w:ascii="Times New Roman" w:hAnsi="Times New Roman" w:eastAsia="仿宋" w:cs="Times New Roman"/>
                <w:b w:val="0"/>
                <w:bCs w:val="0"/>
                <w:sz w:val="21"/>
                <w:szCs w:val="21"/>
                <w:lang w:val="en-US" w:eastAsia="zh-CN"/>
              </w:rPr>
              <w:t>1.5223</w:t>
            </w:r>
            <w:bookmarkEnd w:id="102"/>
            <w:r>
              <w:rPr>
                <w:rFonts w:hint="default" w:ascii="Times New Roman" w:hAnsi="Times New Roman" w:eastAsia="仿宋" w:cs="Times New Roman"/>
                <w:b w:val="0"/>
                <w:bCs w:val="0"/>
                <w:sz w:val="21"/>
                <w:szCs w:val="21"/>
                <w:lang w:val="en-US" w:eastAsia="zh-CN"/>
              </w:rPr>
              <w:t xml:space="preserve"> </w:t>
            </w:r>
          </w:p>
        </w:tc>
        <w:tc>
          <w:tcPr>
            <w:tcW w:w="3293" w:type="pct"/>
            <w:gridSpan w:val="6"/>
            <w:vMerge w:val="continue"/>
            <w:tcBorders>
              <w:left w:val="single" w:color="000000" w:sz="4" w:space="0"/>
              <w:bottom w:val="single" w:color="000000" w:sz="4" w:space="0"/>
              <w:right w:val="single" w:color="000000" w:sz="4" w:space="0"/>
            </w:tcBorders>
            <w:shd w:val="clear" w:color="auto" w:fill="auto"/>
            <w:vAlign w:val="center"/>
          </w:tcPr>
          <w:p w14:paraId="500718EF">
            <w:pPr>
              <w:spacing w:line="240" w:lineRule="auto"/>
              <w:ind w:firstLine="0" w:firstLineChars="0"/>
              <w:jc w:val="center"/>
              <w:rPr>
                <w:rFonts w:hint="default" w:ascii="Times New Roman" w:hAnsi="Times New Roman" w:eastAsia="仿宋" w:cs="Times New Roman"/>
                <w:b w:val="0"/>
                <w:bCs w:val="0"/>
                <w:sz w:val="21"/>
                <w:szCs w:val="21"/>
                <w:lang w:val="en-US" w:eastAsia="zh-CN"/>
              </w:rPr>
            </w:pPr>
          </w:p>
        </w:tc>
      </w:tr>
    </w:tbl>
    <w:p w14:paraId="3188B230">
      <w:pPr>
        <w:ind w:firstLine="0" w:firstLineChars="0"/>
        <w:outlineLvl w:val="9"/>
        <w:rPr>
          <w:rFonts w:hint="default" w:ascii="Times New Roman" w:hAnsi="Times New Roman" w:eastAsia="仿宋" w:cs="Times New Roman"/>
          <w:b/>
          <w:sz w:val="24"/>
          <w:lang w:eastAsia="zh-CN"/>
        </w:rPr>
      </w:pPr>
      <w:r>
        <w:rPr>
          <w:rFonts w:hint="default" w:ascii="Times New Roman" w:hAnsi="Times New Roman" w:eastAsia="仿宋" w:cs="Times New Roman"/>
          <w:sz w:val="20"/>
          <w:szCs w:val="20"/>
        </w:rPr>
        <w:t>注：除表中列出的容积率修正系数外，其它容积率修正通过表中相邻容积率对应修正系数线性内插计算获取。</w:t>
      </w:r>
      <w:r>
        <w:rPr>
          <w:rFonts w:hint="default" w:ascii="Times New Roman" w:hAnsi="Times New Roman" w:eastAsia="仿宋" w:cs="Times New Roman"/>
          <w:b/>
          <w:sz w:val="24"/>
          <w:lang w:eastAsia="zh-CN"/>
        </w:rPr>
        <w:t>　</w:t>
      </w:r>
    </w:p>
    <w:p w14:paraId="70511C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9"/>
        <w:rPr>
          <w:rFonts w:hint="eastAsia" w:ascii="仿宋" w:hAnsi="仿宋" w:eastAsia="仿宋" w:cs="仿宋"/>
          <w:b/>
          <w:sz w:val="24"/>
        </w:rPr>
      </w:pPr>
      <w:r>
        <w:rPr>
          <w:rFonts w:hint="default" w:ascii="Times New Roman" w:hAnsi="Times New Roman" w:eastAsia="仿宋" w:cs="Times New Roman"/>
          <w:b/>
          <w:sz w:val="24"/>
        </w:rPr>
        <w:t>表</w:t>
      </w:r>
      <w:r>
        <w:rPr>
          <w:rFonts w:hint="eastAsia" w:cs="Times New Roman"/>
          <w:b/>
          <w:sz w:val="24"/>
          <w:lang w:val="en-US" w:eastAsia="zh-CN"/>
        </w:rPr>
        <w:t xml:space="preserve">2-24 </w:t>
      </w:r>
      <w:r>
        <w:rPr>
          <w:rFonts w:hint="eastAsia" w:ascii="Times New Roman" w:hAnsi="Times New Roman" w:eastAsia="仿宋" w:cs="Times New Roman"/>
          <w:b/>
          <w:sz w:val="24"/>
          <w:lang w:val="en-US" w:eastAsia="zh-CN"/>
        </w:rPr>
        <w:t xml:space="preserve"> </w:t>
      </w:r>
      <w:r>
        <w:rPr>
          <w:rFonts w:hint="eastAsia" w:ascii="仿宋" w:hAnsi="仿宋" w:eastAsia="仿宋" w:cs="仿宋"/>
          <w:b/>
          <w:sz w:val="24"/>
          <w:lang w:eastAsia="zh-CN"/>
        </w:rPr>
        <w:t>居住用地</w:t>
      </w:r>
      <w:r>
        <w:rPr>
          <w:rFonts w:hint="eastAsia" w:ascii="仿宋" w:hAnsi="仿宋" w:eastAsia="仿宋" w:cs="仿宋"/>
          <w:b/>
          <w:sz w:val="24"/>
        </w:rPr>
        <w:t>容积率修正系数表</w:t>
      </w:r>
    </w:p>
    <w:tbl>
      <w:tblPr>
        <w:tblStyle w:val="14"/>
        <w:tblW w:w="5099" w:type="pct"/>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4"/>
        <w:gridCol w:w="968"/>
        <w:gridCol w:w="968"/>
        <w:gridCol w:w="968"/>
        <w:gridCol w:w="968"/>
        <w:gridCol w:w="968"/>
        <w:gridCol w:w="968"/>
        <w:gridCol w:w="968"/>
        <w:gridCol w:w="972"/>
      </w:tblGrid>
      <w:tr w14:paraId="5002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BDF0">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3" w:name="_Toc30743"/>
            <w:r>
              <w:rPr>
                <w:rFonts w:hint="eastAsia" w:ascii="Times New Roman" w:hAnsi="Times New Roman" w:eastAsia="仿宋" w:cs="Times New Roman"/>
                <w:b w:val="0"/>
                <w:bCs w:val="0"/>
                <w:sz w:val="21"/>
                <w:szCs w:val="21"/>
                <w:lang w:val="en-US" w:eastAsia="zh-CN"/>
              </w:rPr>
              <w:t>容积率</w:t>
            </w:r>
            <w:bookmarkEnd w:id="103"/>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CBA4">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4" w:name="_Toc17800"/>
            <w:r>
              <w:rPr>
                <w:rFonts w:hint="eastAsia" w:ascii="Times New Roman" w:hAnsi="Times New Roman" w:eastAsia="仿宋" w:cs="Times New Roman"/>
                <w:b w:val="0"/>
                <w:bCs w:val="0"/>
                <w:sz w:val="21"/>
                <w:szCs w:val="21"/>
                <w:lang w:val="en-US" w:eastAsia="zh-CN"/>
              </w:rPr>
              <w:t>≤0.5</w:t>
            </w:r>
            <w:bookmarkEnd w:id="104"/>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B568">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5" w:name="_Toc27235"/>
            <w:r>
              <w:rPr>
                <w:rFonts w:hint="eastAsia" w:ascii="Times New Roman" w:hAnsi="Times New Roman" w:eastAsia="仿宋" w:cs="Times New Roman"/>
                <w:b w:val="0"/>
                <w:bCs w:val="0"/>
                <w:sz w:val="21"/>
                <w:szCs w:val="21"/>
                <w:lang w:val="en-US" w:eastAsia="zh-CN"/>
              </w:rPr>
              <w:t>0.6</w:t>
            </w:r>
            <w:bookmarkEnd w:id="105"/>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8BBB4">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6" w:name="_Toc10489"/>
            <w:r>
              <w:rPr>
                <w:rFonts w:hint="eastAsia" w:ascii="Times New Roman" w:hAnsi="Times New Roman" w:eastAsia="仿宋" w:cs="Times New Roman"/>
                <w:b w:val="0"/>
                <w:bCs w:val="0"/>
                <w:sz w:val="21"/>
                <w:szCs w:val="21"/>
                <w:lang w:val="en-US" w:eastAsia="zh-CN"/>
              </w:rPr>
              <w:t>0.7</w:t>
            </w:r>
            <w:bookmarkEnd w:id="106"/>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4D70">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7" w:name="_Toc10161"/>
            <w:r>
              <w:rPr>
                <w:rFonts w:hint="eastAsia" w:ascii="Times New Roman" w:hAnsi="Times New Roman" w:eastAsia="仿宋" w:cs="Times New Roman"/>
                <w:b w:val="0"/>
                <w:bCs w:val="0"/>
                <w:sz w:val="21"/>
                <w:szCs w:val="21"/>
                <w:lang w:val="en-US" w:eastAsia="zh-CN"/>
              </w:rPr>
              <w:t>0.8</w:t>
            </w:r>
            <w:bookmarkEnd w:id="107"/>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F359B">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8" w:name="_Toc30288"/>
            <w:r>
              <w:rPr>
                <w:rFonts w:hint="eastAsia" w:ascii="Times New Roman" w:hAnsi="Times New Roman" w:eastAsia="仿宋" w:cs="Times New Roman"/>
                <w:b w:val="0"/>
                <w:bCs w:val="0"/>
                <w:sz w:val="21"/>
                <w:szCs w:val="21"/>
                <w:lang w:val="en-US" w:eastAsia="zh-CN"/>
              </w:rPr>
              <w:t>0.9</w:t>
            </w:r>
            <w:bookmarkEnd w:id="108"/>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057F">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09" w:name="_Toc31633"/>
            <w:r>
              <w:rPr>
                <w:rFonts w:hint="eastAsia" w:ascii="Times New Roman" w:hAnsi="Times New Roman" w:eastAsia="仿宋" w:cs="Times New Roman"/>
                <w:b w:val="0"/>
                <w:bCs w:val="0"/>
                <w:sz w:val="21"/>
                <w:szCs w:val="21"/>
                <w:lang w:val="en-US" w:eastAsia="zh-CN"/>
              </w:rPr>
              <w:t>1</w:t>
            </w:r>
            <w:bookmarkEnd w:id="109"/>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31CAE">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0" w:name="_Toc25633"/>
            <w:r>
              <w:rPr>
                <w:rFonts w:hint="eastAsia" w:ascii="Times New Roman" w:hAnsi="Times New Roman" w:eastAsia="仿宋" w:cs="Times New Roman"/>
                <w:b w:val="0"/>
                <w:bCs w:val="0"/>
                <w:sz w:val="21"/>
                <w:szCs w:val="21"/>
                <w:lang w:val="en-US" w:eastAsia="zh-CN"/>
              </w:rPr>
              <w:t>1.1</w:t>
            </w:r>
            <w:bookmarkEnd w:id="110"/>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7381">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1" w:name="_Toc7784"/>
            <w:r>
              <w:rPr>
                <w:rFonts w:hint="eastAsia" w:ascii="Times New Roman" w:hAnsi="Times New Roman" w:eastAsia="仿宋" w:cs="Times New Roman"/>
                <w:b w:val="0"/>
                <w:bCs w:val="0"/>
                <w:sz w:val="21"/>
                <w:szCs w:val="21"/>
                <w:lang w:val="en-US" w:eastAsia="zh-CN"/>
              </w:rPr>
              <w:t>1.2</w:t>
            </w:r>
            <w:bookmarkEnd w:id="111"/>
          </w:p>
        </w:tc>
      </w:tr>
      <w:tr w14:paraId="384EA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70A50">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2" w:name="_Toc15579"/>
            <w:r>
              <w:rPr>
                <w:rFonts w:hint="eastAsia" w:ascii="Times New Roman" w:hAnsi="Times New Roman" w:eastAsia="仿宋" w:cs="Times New Roman"/>
                <w:b w:val="0"/>
                <w:bCs w:val="0"/>
                <w:sz w:val="21"/>
                <w:szCs w:val="21"/>
                <w:lang w:val="en-US" w:eastAsia="zh-CN"/>
              </w:rPr>
              <w:t>修正系数</w:t>
            </w:r>
            <w:bookmarkEnd w:id="112"/>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A44C">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3" w:name="_Toc15903"/>
            <w:r>
              <w:rPr>
                <w:rFonts w:hint="eastAsia" w:ascii="Times New Roman" w:hAnsi="Times New Roman" w:eastAsia="仿宋" w:cs="Times New Roman"/>
                <w:b w:val="0"/>
                <w:bCs w:val="0"/>
                <w:sz w:val="21"/>
                <w:szCs w:val="21"/>
                <w:lang w:val="en-US" w:eastAsia="zh-CN"/>
              </w:rPr>
              <w:t>0.7601</w:t>
            </w:r>
            <w:bookmarkEnd w:id="113"/>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B0B59">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4" w:name="_Toc5931"/>
            <w:r>
              <w:rPr>
                <w:rFonts w:hint="eastAsia" w:ascii="Times New Roman" w:hAnsi="Times New Roman" w:eastAsia="仿宋" w:cs="Times New Roman"/>
                <w:b w:val="0"/>
                <w:bCs w:val="0"/>
                <w:sz w:val="21"/>
                <w:szCs w:val="21"/>
                <w:lang w:val="en-US" w:eastAsia="zh-CN"/>
              </w:rPr>
              <w:t>0.7882</w:t>
            </w:r>
            <w:bookmarkEnd w:id="114"/>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EF8D">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5" w:name="_Toc23916"/>
            <w:r>
              <w:rPr>
                <w:rFonts w:hint="eastAsia" w:ascii="Times New Roman" w:hAnsi="Times New Roman" w:eastAsia="仿宋" w:cs="Times New Roman"/>
                <w:b w:val="0"/>
                <w:bCs w:val="0"/>
                <w:sz w:val="21"/>
                <w:szCs w:val="21"/>
                <w:lang w:val="en-US" w:eastAsia="zh-CN"/>
              </w:rPr>
              <w:t>0.8366</w:t>
            </w:r>
            <w:bookmarkEnd w:id="115"/>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896B8">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6" w:name="_Toc7851"/>
            <w:r>
              <w:rPr>
                <w:rFonts w:hint="eastAsia" w:ascii="Times New Roman" w:hAnsi="Times New Roman" w:eastAsia="仿宋" w:cs="Times New Roman"/>
                <w:b w:val="0"/>
                <w:bCs w:val="0"/>
                <w:sz w:val="21"/>
                <w:szCs w:val="21"/>
                <w:lang w:val="en-US" w:eastAsia="zh-CN"/>
              </w:rPr>
              <w:t>0.8843</w:t>
            </w:r>
            <w:bookmarkEnd w:id="116"/>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09CF0">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7" w:name="_Toc18006"/>
            <w:r>
              <w:rPr>
                <w:rFonts w:hint="eastAsia" w:ascii="Times New Roman" w:hAnsi="Times New Roman" w:eastAsia="仿宋" w:cs="Times New Roman"/>
                <w:b w:val="0"/>
                <w:bCs w:val="0"/>
                <w:sz w:val="21"/>
                <w:szCs w:val="21"/>
                <w:lang w:val="en-US" w:eastAsia="zh-CN"/>
              </w:rPr>
              <w:t>0.9204</w:t>
            </w:r>
            <w:bookmarkEnd w:id="117"/>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89303">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8" w:name="_Toc22224"/>
            <w:r>
              <w:rPr>
                <w:rFonts w:hint="eastAsia" w:ascii="Times New Roman" w:hAnsi="Times New Roman" w:eastAsia="仿宋" w:cs="Times New Roman"/>
                <w:b w:val="0"/>
                <w:bCs w:val="0"/>
                <w:sz w:val="21"/>
                <w:szCs w:val="21"/>
                <w:lang w:val="en-US" w:eastAsia="zh-CN"/>
              </w:rPr>
              <w:t>1.0000</w:t>
            </w:r>
            <w:bookmarkEnd w:id="118"/>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A7DB3">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19" w:name="_Toc29150"/>
            <w:r>
              <w:rPr>
                <w:rFonts w:hint="eastAsia" w:ascii="Times New Roman" w:hAnsi="Times New Roman" w:eastAsia="仿宋" w:cs="Times New Roman"/>
                <w:b w:val="0"/>
                <w:bCs w:val="0"/>
                <w:sz w:val="21"/>
                <w:szCs w:val="21"/>
                <w:lang w:val="en-US" w:eastAsia="zh-CN"/>
              </w:rPr>
              <w:t>1.0399</w:t>
            </w:r>
            <w:bookmarkEnd w:id="119"/>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6FDC">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0" w:name="_Toc21104"/>
            <w:r>
              <w:rPr>
                <w:rFonts w:hint="eastAsia" w:ascii="Times New Roman" w:hAnsi="Times New Roman" w:eastAsia="仿宋" w:cs="Times New Roman"/>
                <w:b w:val="0"/>
                <w:bCs w:val="0"/>
                <w:sz w:val="21"/>
                <w:szCs w:val="21"/>
                <w:lang w:val="en-US" w:eastAsia="zh-CN"/>
              </w:rPr>
              <w:t>1.0700</w:t>
            </w:r>
            <w:bookmarkEnd w:id="120"/>
            <w:r>
              <w:rPr>
                <w:rFonts w:hint="eastAsia" w:ascii="Times New Roman" w:hAnsi="Times New Roman" w:eastAsia="仿宋" w:cs="Times New Roman"/>
                <w:b w:val="0"/>
                <w:bCs w:val="0"/>
                <w:sz w:val="21"/>
                <w:szCs w:val="21"/>
                <w:lang w:val="en-US" w:eastAsia="zh-CN"/>
              </w:rPr>
              <w:t xml:space="preserve"> </w:t>
            </w:r>
          </w:p>
        </w:tc>
      </w:tr>
      <w:tr w14:paraId="47D0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22C8E">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1" w:name="_Toc5624"/>
            <w:r>
              <w:rPr>
                <w:rFonts w:hint="eastAsia" w:ascii="Times New Roman" w:hAnsi="Times New Roman" w:eastAsia="仿宋" w:cs="Times New Roman"/>
                <w:b w:val="0"/>
                <w:bCs w:val="0"/>
                <w:sz w:val="21"/>
                <w:szCs w:val="21"/>
                <w:lang w:val="en-US" w:eastAsia="zh-CN"/>
              </w:rPr>
              <w:t>容积率</w:t>
            </w:r>
            <w:bookmarkEnd w:id="121"/>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AFBD">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2" w:name="_Toc27738"/>
            <w:r>
              <w:rPr>
                <w:rFonts w:hint="eastAsia" w:ascii="Times New Roman" w:hAnsi="Times New Roman" w:eastAsia="仿宋" w:cs="Times New Roman"/>
                <w:b w:val="0"/>
                <w:bCs w:val="0"/>
                <w:sz w:val="21"/>
                <w:szCs w:val="21"/>
                <w:lang w:val="en-US" w:eastAsia="zh-CN"/>
              </w:rPr>
              <w:t>1.3</w:t>
            </w:r>
            <w:bookmarkEnd w:id="122"/>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9ABA4">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3" w:name="_Toc21555"/>
            <w:r>
              <w:rPr>
                <w:rFonts w:hint="eastAsia" w:ascii="Times New Roman" w:hAnsi="Times New Roman" w:eastAsia="仿宋" w:cs="Times New Roman"/>
                <w:b w:val="0"/>
                <w:bCs w:val="0"/>
                <w:sz w:val="21"/>
                <w:szCs w:val="21"/>
                <w:lang w:val="en-US" w:eastAsia="zh-CN"/>
              </w:rPr>
              <w:t>1.4</w:t>
            </w:r>
            <w:bookmarkEnd w:id="123"/>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C2C41">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4" w:name="_Toc12761"/>
            <w:r>
              <w:rPr>
                <w:rFonts w:hint="eastAsia" w:ascii="Times New Roman" w:hAnsi="Times New Roman" w:eastAsia="仿宋" w:cs="Times New Roman"/>
                <w:b w:val="0"/>
                <w:bCs w:val="0"/>
                <w:sz w:val="21"/>
                <w:szCs w:val="21"/>
                <w:lang w:val="en-US" w:eastAsia="zh-CN"/>
              </w:rPr>
              <w:t>1.5</w:t>
            </w:r>
            <w:bookmarkEnd w:id="124"/>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C4DE">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5" w:name="_Toc5830"/>
            <w:r>
              <w:rPr>
                <w:rFonts w:hint="eastAsia" w:ascii="Times New Roman" w:hAnsi="Times New Roman" w:eastAsia="仿宋" w:cs="Times New Roman"/>
                <w:b w:val="0"/>
                <w:bCs w:val="0"/>
                <w:sz w:val="21"/>
                <w:szCs w:val="21"/>
                <w:lang w:val="en-US" w:eastAsia="zh-CN"/>
              </w:rPr>
              <w:t>1.6</w:t>
            </w:r>
            <w:bookmarkEnd w:id="125"/>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B4488">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6" w:name="_Toc30228"/>
            <w:r>
              <w:rPr>
                <w:rFonts w:hint="eastAsia" w:ascii="Times New Roman" w:hAnsi="Times New Roman" w:eastAsia="仿宋" w:cs="Times New Roman"/>
                <w:b w:val="0"/>
                <w:bCs w:val="0"/>
                <w:sz w:val="21"/>
                <w:szCs w:val="21"/>
                <w:lang w:val="en-US" w:eastAsia="zh-CN"/>
              </w:rPr>
              <w:t>1.7</w:t>
            </w:r>
            <w:bookmarkEnd w:id="126"/>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F861">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7" w:name="_Toc22234"/>
            <w:r>
              <w:rPr>
                <w:rFonts w:hint="eastAsia" w:ascii="Times New Roman" w:hAnsi="Times New Roman" w:eastAsia="仿宋" w:cs="Times New Roman"/>
                <w:b w:val="0"/>
                <w:bCs w:val="0"/>
                <w:sz w:val="21"/>
                <w:szCs w:val="21"/>
                <w:lang w:val="en-US" w:eastAsia="zh-CN"/>
              </w:rPr>
              <w:t>1.8</w:t>
            </w:r>
            <w:bookmarkEnd w:id="127"/>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BE0B">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8" w:name="_Toc32170"/>
            <w:r>
              <w:rPr>
                <w:rFonts w:hint="eastAsia" w:ascii="Times New Roman" w:hAnsi="Times New Roman" w:eastAsia="仿宋" w:cs="Times New Roman"/>
                <w:b w:val="0"/>
                <w:bCs w:val="0"/>
                <w:sz w:val="21"/>
                <w:szCs w:val="21"/>
                <w:lang w:val="en-US" w:eastAsia="zh-CN"/>
              </w:rPr>
              <w:t>1.9</w:t>
            </w:r>
            <w:bookmarkEnd w:id="128"/>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C4068">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29" w:name="_Toc7749"/>
            <w:r>
              <w:rPr>
                <w:rFonts w:hint="eastAsia" w:ascii="Times New Roman" w:hAnsi="Times New Roman" w:eastAsia="仿宋" w:cs="Times New Roman"/>
                <w:b w:val="0"/>
                <w:bCs w:val="0"/>
                <w:sz w:val="21"/>
                <w:szCs w:val="21"/>
                <w:lang w:val="en-US" w:eastAsia="zh-CN"/>
              </w:rPr>
              <w:t>2.0</w:t>
            </w:r>
            <w:bookmarkEnd w:id="129"/>
            <w:r>
              <w:rPr>
                <w:rFonts w:hint="eastAsia" w:ascii="Times New Roman" w:hAnsi="Times New Roman" w:eastAsia="仿宋" w:cs="Times New Roman"/>
                <w:b w:val="0"/>
                <w:bCs w:val="0"/>
                <w:sz w:val="21"/>
                <w:szCs w:val="21"/>
                <w:lang w:val="en-US" w:eastAsia="zh-CN"/>
              </w:rPr>
              <w:t xml:space="preserve"> </w:t>
            </w:r>
          </w:p>
        </w:tc>
      </w:tr>
      <w:tr w14:paraId="1FB87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8A72">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0" w:name="_Toc27647"/>
            <w:r>
              <w:rPr>
                <w:rFonts w:hint="eastAsia" w:ascii="Times New Roman" w:hAnsi="Times New Roman" w:eastAsia="仿宋" w:cs="Times New Roman"/>
                <w:b w:val="0"/>
                <w:bCs w:val="0"/>
                <w:sz w:val="21"/>
                <w:szCs w:val="21"/>
                <w:lang w:val="en-US" w:eastAsia="zh-CN"/>
              </w:rPr>
              <w:t>修正系数</w:t>
            </w:r>
            <w:bookmarkEnd w:id="130"/>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41091">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1" w:name="_Toc26654"/>
            <w:r>
              <w:rPr>
                <w:rFonts w:hint="eastAsia" w:ascii="Times New Roman" w:hAnsi="Times New Roman" w:eastAsia="仿宋" w:cs="Times New Roman"/>
                <w:b w:val="0"/>
                <w:bCs w:val="0"/>
                <w:sz w:val="21"/>
                <w:szCs w:val="21"/>
                <w:lang w:val="en-US" w:eastAsia="zh-CN"/>
              </w:rPr>
              <w:t>1.1055</w:t>
            </w:r>
            <w:bookmarkEnd w:id="131"/>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D349">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2" w:name="_Toc10255"/>
            <w:r>
              <w:rPr>
                <w:rFonts w:hint="eastAsia" w:ascii="Times New Roman" w:hAnsi="Times New Roman" w:eastAsia="仿宋" w:cs="Times New Roman"/>
                <w:b w:val="0"/>
                <w:bCs w:val="0"/>
                <w:sz w:val="21"/>
                <w:szCs w:val="21"/>
                <w:lang w:val="en-US" w:eastAsia="zh-CN"/>
              </w:rPr>
              <w:t>1.1303</w:t>
            </w:r>
            <w:bookmarkEnd w:id="132"/>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704B">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3" w:name="_Toc24258"/>
            <w:r>
              <w:rPr>
                <w:rFonts w:hint="eastAsia" w:ascii="Times New Roman" w:hAnsi="Times New Roman" w:eastAsia="仿宋" w:cs="Times New Roman"/>
                <w:b w:val="0"/>
                <w:bCs w:val="0"/>
                <w:sz w:val="21"/>
                <w:szCs w:val="21"/>
                <w:lang w:val="en-US" w:eastAsia="zh-CN"/>
              </w:rPr>
              <w:t>1.1557</w:t>
            </w:r>
            <w:bookmarkEnd w:id="133"/>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9FA86">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4" w:name="_Toc23750"/>
            <w:r>
              <w:rPr>
                <w:rFonts w:hint="eastAsia" w:ascii="Times New Roman" w:hAnsi="Times New Roman" w:eastAsia="仿宋" w:cs="Times New Roman"/>
                <w:b w:val="0"/>
                <w:bCs w:val="0"/>
                <w:sz w:val="21"/>
                <w:szCs w:val="21"/>
                <w:lang w:val="en-US" w:eastAsia="zh-CN"/>
              </w:rPr>
              <w:t>1.1888</w:t>
            </w:r>
            <w:bookmarkEnd w:id="134"/>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2C49A">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5" w:name="_Toc11085"/>
            <w:r>
              <w:rPr>
                <w:rFonts w:hint="eastAsia" w:ascii="Times New Roman" w:hAnsi="Times New Roman" w:eastAsia="仿宋" w:cs="Times New Roman"/>
                <w:b w:val="0"/>
                <w:bCs w:val="0"/>
                <w:sz w:val="21"/>
                <w:szCs w:val="21"/>
                <w:lang w:val="en-US" w:eastAsia="zh-CN"/>
              </w:rPr>
              <w:t>1.2188</w:t>
            </w:r>
            <w:bookmarkEnd w:id="135"/>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1B786">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6" w:name="_Toc6447"/>
            <w:r>
              <w:rPr>
                <w:rFonts w:hint="eastAsia" w:ascii="Times New Roman" w:hAnsi="Times New Roman" w:eastAsia="仿宋" w:cs="Times New Roman"/>
                <w:b w:val="0"/>
                <w:bCs w:val="0"/>
                <w:sz w:val="21"/>
                <w:szCs w:val="21"/>
                <w:lang w:val="en-US" w:eastAsia="zh-CN"/>
              </w:rPr>
              <w:t>1.2446</w:t>
            </w:r>
            <w:bookmarkEnd w:id="136"/>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A4A3C">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7" w:name="_Toc27028"/>
            <w:r>
              <w:rPr>
                <w:rFonts w:hint="eastAsia" w:ascii="Times New Roman" w:hAnsi="Times New Roman" w:eastAsia="仿宋" w:cs="Times New Roman"/>
                <w:b w:val="0"/>
                <w:bCs w:val="0"/>
                <w:sz w:val="21"/>
                <w:szCs w:val="21"/>
                <w:lang w:val="en-US" w:eastAsia="zh-CN"/>
              </w:rPr>
              <w:t>1.2729</w:t>
            </w:r>
            <w:bookmarkEnd w:id="137"/>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5FE11">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8" w:name="_Toc30452"/>
            <w:r>
              <w:rPr>
                <w:rFonts w:hint="eastAsia" w:ascii="Times New Roman" w:hAnsi="Times New Roman" w:eastAsia="仿宋" w:cs="Times New Roman"/>
                <w:b w:val="0"/>
                <w:bCs w:val="0"/>
                <w:sz w:val="21"/>
                <w:szCs w:val="21"/>
                <w:lang w:val="en-US" w:eastAsia="zh-CN"/>
              </w:rPr>
              <w:t>1.3048</w:t>
            </w:r>
            <w:bookmarkEnd w:id="138"/>
            <w:r>
              <w:rPr>
                <w:rFonts w:hint="eastAsia" w:ascii="Times New Roman" w:hAnsi="Times New Roman" w:eastAsia="仿宋" w:cs="Times New Roman"/>
                <w:b w:val="0"/>
                <w:bCs w:val="0"/>
                <w:sz w:val="21"/>
                <w:szCs w:val="21"/>
                <w:lang w:val="en-US" w:eastAsia="zh-CN"/>
              </w:rPr>
              <w:t xml:space="preserve"> </w:t>
            </w:r>
          </w:p>
        </w:tc>
      </w:tr>
      <w:tr w14:paraId="3F4C2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32AD6">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39" w:name="_Toc11546"/>
            <w:r>
              <w:rPr>
                <w:rFonts w:hint="eastAsia" w:ascii="Times New Roman" w:hAnsi="Times New Roman" w:eastAsia="仿宋" w:cs="Times New Roman"/>
                <w:b w:val="0"/>
                <w:bCs w:val="0"/>
                <w:sz w:val="21"/>
                <w:szCs w:val="21"/>
                <w:lang w:val="en-US" w:eastAsia="zh-CN"/>
              </w:rPr>
              <w:t>容积率</w:t>
            </w:r>
            <w:bookmarkEnd w:id="139"/>
          </w:p>
        </w:tc>
        <w:tc>
          <w:tcPr>
            <w:tcW w:w="54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1CCC385">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0" w:name="_Toc8709"/>
            <w:r>
              <w:rPr>
                <w:rFonts w:hint="eastAsia" w:ascii="Times New Roman" w:hAnsi="Times New Roman" w:eastAsia="仿宋" w:cs="Times New Roman"/>
                <w:b w:val="0"/>
                <w:bCs w:val="0"/>
                <w:sz w:val="21"/>
                <w:szCs w:val="21"/>
                <w:lang w:val="en-US" w:eastAsia="zh-CN"/>
              </w:rPr>
              <w:t>2.1</w:t>
            </w:r>
            <w:bookmarkEnd w:id="140"/>
          </w:p>
        </w:tc>
        <w:tc>
          <w:tcPr>
            <w:tcW w:w="544" w:type="pct"/>
            <w:tcBorders>
              <w:top w:val="single" w:color="000000" w:sz="8" w:space="0"/>
              <w:left w:val="nil"/>
              <w:bottom w:val="single" w:color="000000" w:sz="8" w:space="0"/>
              <w:right w:val="single" w:color="000000" w:sz="8" w:space="0"/>
            </w:tcBorders>
            <w:shd w:val="clear" w:color="auto" w:fill="auto"/>
            <w:vAlign w:val="center"/>
          </w:tcPr>
          <w:p w14:paraId="6C44FED6">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1" w:name="_Toc9889"/>
            <w:r>
              <w:rPr>
                <w:rFonts w:hint="eastAsia" w:ascii="Times New Roman" w:hAnsi="Times New Roman" w:eastAsia="仿宋" w:cs="Times New Roman"/>
                <w:b w:val="0"/>
                <w:bCs w:val="0"/>
                <w:sz w:val="21"/>
                <w:szCs w:val="21"/>
                <w:lang w:val="en-US" w:eastAsia="zh-CN"/>
              </w:rPr>
              <w:t>2.2</w:t>
            </w:r>
            <w:bookmarkEnd w:id="141"/>
          </w:p>
        </w:tc>
        <w:tc>
          <w:tcPr>
            <w:tcW w:w="544" w:type="pct"/>
            <w:tcBorders>
              <w:top w:val="single" w:color="000000" w:sz="8" w:space="0"/>
              <w:left w:val="nil"/>
              <w:bottom w:val="single" w:color="000000" w:sz="8" w:space="0"/>
              <w:right w:val="single" w:color="000000" w:sz="8" w:space="0"/>
            </w:tcBorders>
            <w:shd w:val="clear" w:color="auto" w:fill="auto"/>
            <w:vAlign w:val="center"/>
          </w:tcPr>
          <w:p w14:paraId="579AC5C8">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2" w:name="_Toc12901"/>
            <w:r>
              <w:rPr>
                <w:rFonts w:hint="eastAsia" w:ascii="Times New Roman" w:hAnsi="Times New Roman" w:eastAsia="仿宋" w:cs="Times New Roman"/>
                <w:b w:val="0"/>
                <w:bCs w:val="0"/>
                <w:sz w:val="21"/>
                <w:szCs w:val="21"/>
                <w:lang w:val="en-US" w:eastAsia="zh-CN"/>
              </w:rPr>
              <w:t>2.3</w:t>
            </w:r>
            <w:bookmarkEnd w:id="142"/>
          </w:p>
        </w:tc>
        <w:tc>
          <w:tcPr>
            <w:tcW w:w="544" w:type="pct"/>
            <w:tcBorders>
              <w:top w:val="single" w:color="000000" w:sz="8" w:space="0"/>
              <w:left w:val="nil"/>
              <w:bottom w:val="single" w:color="000000" w:sz="8" w:space="0"/>
              <w:right w:val="single" w:color="000000" w:sz="8" w:space="0"/>
            </w:tcBorders>
            <w:shd w:val="clear" w:color="auto" w:fill="auto"/>
            <w:vAlign w:val="center"/>
          </w:tcPr>
          <w:p w14:paraId="2A5FAD37">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3" w:name="_Toc14144"/>
            <w:r>
              <w:rPr>
                <w:rFonts w:hint="eastAsia" w:ascii="Times New Roman" w:hAnsi="Times New Roman" w:eastAsia="仿宋" w:cs="Times New Roman"/>
                <w:b w:val="0"/>
                <w:bCs w:val="0"/>
                <w:sz w:val="21"/>
                <w:szCs w:val="21"/>
                <w:lang w:val="en-US" w:eastAsia="zh-CN"/>
              </w:rPr>
              <w:t>2.4</w:t>
            </w:r>
            <w:bookmarkEnd w:id="143"/>
          </w:p>
        </w:tc>
        <w:tc>
          <w:tcPr>
            <w:tcW w:w="544" w:type="pct"/>
            <w:tcBorders>
              <w:top w:val="single" w:color="000000" w:sz="8" w:space="0"/>
              <w:left w:val="nil"/>
              <w:bottom w:val="single" w:color="000000" w:sz="8" w:space="0"/>
              <w:right w:val="single" w:color="000000" w:sz="8" w:space="0"/>
            </w:tcBorders>
            <w:shd w:val="clear" w:color="auto" w:fill="auto"/>
            <w:vAlign w:val="center"/>
          </w:tcPr>
          <w:p w14:paraId="541D4D5D">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4" w:name="_Toc4459"/>
            <w:r>
              <w:rPr>
                <w:rFonts w:hint="eastAsia" w:ascii="Times New Roman" w:hAnsi="Times New Roman" w:eastAsia="仿宋" w:cs="Times New Roman"/>
                <w:b w:val="0"/>
                <w:bCs w:val="0"/>
                <w:kern w:val="2"/>
                <w:sz w:val="24"/>
                <w:szCs w:val="24"/>
                <w:lang w:val="en-US" w:eastAsia="zh-CN" w:bidi="ar-SA"/>
              </w:rPr>
              <w:t>≥</w:t>
            </w:r>
            <w:r>
              <w:rPr>
                <w:rFonts w:hint="eastAsia" w:ascii="Times New Roman" w:hAnsi="Times New Roman" w:eastAsia="仿宋" w:cs="Times New Roman"/>
                <w:b w:val="0"/>
                <w:bCs w:val="0"/>
                <w:sz w:val="21"/>
                <w:szCs w:val="21"/>
                <w:lang w:val="en-US" w:eastAsia="zh-CN"/>
              </w:rPr>
              <w:t>2.5</w:t>
            </w:r>
            <w:bookmarkEnd w:id="144"/>
          </w:p>
        </w:tc>
        <w:tc>
          <w:tcPr>
            <w:tcW w:w="1634" w:type="pct"/>
            <w:gridSpan w:val="3"/>
            <w:vMerge w:val="restart"/>
            <w:tcBorders>
              <w:top w:val="single" w:color="000000" w:sz="4" w:space="0"/>
              <w:left w:val="single" w:color="000000" w:sz="4" w:space="0"/>
              <w:right w:val="single" w:color="000000" w:sz="4" w:space="0"/>
            </w:tcBorders>
            <w:shd w:val="clear" w:color="auto" w:fill="auto"/>
            <w:vAlign w:val="center"/>
          </w:tcPr>
          <w:p w14:paraId="49E9B929">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p>
        </w:tc>
      </w:tr>
      <w:tr w14:paraId="4C50A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6EF4">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5" w:name="_Toc25892"/>
            <w:r>
              <w:rPr>
                <w:rFonts w:hint="eastAsia" w:ascii="Times New Roman" w:hAnsi="Times New Roman" w:eastAsia="仿宋" w:cs="Times New Roman"/>
                <w:b w:val="0"/>
                <w:bCs w:val="0"/>
                <w:sz w:val="21"/>
                <w:szCs w:val="21"/>
                <w:lang w:val="en-US" w:eastAsia="zh-CN"/>
              </w:rPr>
              <w:t>修正系数</w:t>
            </w:r>
            <w:bookmarkEnd w:id="145"/>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06611B">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6" w:name="_Toc11770"/>
            <w:r>
              <w:rPr>
                <w:rFonts w:hint="eastAsia" w:ascii="Times New Roman" w:hAnsi="Times New Roman" w:eastAsia="仿宋" w:cs="Times New Roman"/>
                <w:b w:val="0"/>
                <w:bCs w:val="0"/>
                <w:sz w:val="21"/>
                <w:szCs w:val="21"/>
                <w:lang w:val="en-US" w:eastAsia="zh-CN"/>
              </w:rPr>
              <w:t>1.3378</w:t>
            </w:r>
            <w:bookmarkEnd w:id="146"/>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5791C">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7" w:name="_Toc1896"/>
            <w:r>
              <w:rPr>
                <w:rFonts w:hint="eastAsia" w:ascii="Times New Roman" w:hAnsi="Times New Roman" w:eastAsia="仿宋" w:cs="Times New Roman"/>
                <w:b w:val="0"/>
                <w:bCs w:val="0"/>
                <w:sz w:val="21"/>
                <w:szCs w:val="21"/>
                <w:lang w:val="en-US" w:eastAsia="zh-CN"/>
              </w:rPr>
              <w:t>1.3856</w:t>
            </w:r>
            <w:bookmarkEnd w:id="147"/>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36D35">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8" w:name="_Toc8056"/>
            <w:r>
              <w:rPr>
                <w:rFonts w:hint="eastAsia" w:ascii="Times New Roman" w:hAnsi="Times New Roman" w:eastAsia="仿宋" w:cs="Times New Roman"/>
                <w:b w:val="0"/>
                <w:bCs w:val="0"/>
                <w:sz w:val="21"/>
                <w:szCs w:val="21"/>
                <w:lang w:val="en-US" w:eastAsia="zh-CN"/>
              </w:rPr>
              <w:t>1.3957</w:t>
            </w:r>
            <w:bookmarkEnd w:id="148"/>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3038F">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49" w:name="_Toc27053"/>
            <w:r>
              <w:rPr>
                <w:rFonts w:hint="eastAsia" w:ascii="Times New Roman" w:hAnsi="Times New Roman" w:eastAsia="仿宋" w:cs="Times New Roman"/>
                <w:b w:val="0"/>
                <w:bCs w:val="0"/>
                <w:sz w:val="21"/>
                <w:szCs w:val="21"/>
                <w:lang w:val="en-US" w:eastAsia="zh-CN"/>
              </w:rPr>
              <w:t>1.4478</w:t>
            </w:r>
            <w:bookmarkEnd w:id="149"/>
            <w:r>
              <w:rPr>
                <w:rFonts w:hint="eastAsia" w:ascii="Times New Roman" w:hAnsi="Times New Roman" w:eastAsia="仿宋" w:cs="Times New Roman"/>
                <w:b w:val="0"/>
                <w:bCs w:val="0"/>
                <w:sz w:val="21"/>
                <w:szCs w:val="21"/>
                <w:lang w:val="en-US" w:eastAsia="zh-CN"/>
              </w:rPr>
              <w:t xml:space="preserve"> </w:t>
            </w:r>
          </w:p>
        </w:tc>
        <w:tc>
          <w:tcPr>
            <w:tcW w:w="54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AE212A">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bookmarkStart w:id="150" w:name="_Toc5521"/>
            <w:r>
              <w:rPr>
                <w:rFonts w:hint="eastAsia" w:ascii="Times New Roman" w:hAnsi="Times New Roman" w:eastAsia="仿宋" w:cs="Times New Roman"/>
                <w:b w:val="0"/>
                <w:bCs w:val="0"/>
                <w:sz w:val="21"/>
                <w:szCs w:val="21"/>
                <w:lang w:val="en-US" w:eastAsia="zh-CN"/>
              </w:rPr>
              <w:t>1.4689</w:t>
            </w:r>
            <w:bookmarkEnd w:id="150"/>
            <w:r>
              <w:rPr>
                <w:rFonts w:hint="eastAsia" w:ascii="Times New Roman" w:hAnsi="Times New Roman" w:eastAsia="仿宋" w:cs="Times New Roman"/>
                <w:b w:val="0"/>
                <w:bCs w:val="0"/>
                <w:sz w:val="21"/>
                <w:szCs w:val="21"/>
                <w:lang w:val="en-US" w:eastAsia="zh-CN"/>
              </w:rPr>
              <w:t xml:space="preserve"> </w:t>
            </w:r>
          </w:p>
        </w:tc>
        <w:tc>
          <w:tcPr>
            <w:tcW w:w="1634" w:type="pct"/>
            <w:gridSpan w:val="3"/>
            <w:vMerge w:val="continue"/>
            <w:tcBorders>
              <w:left w:val="single" w:color="000000" w:sz="4" w:space="0"/>
              <w:bottom w:val="single" w:color="000000" w:sz="4" w:space="0"/>
              <w:right w:val="single" w:color="000000" w:sz="4" w:space="0"/>
            </w:tcBorders>
            <w:shd w:val="clear" w:color="auto" w:fill="auto"/>
            <w:noWrap/>
            <w:vAlign w:val="bottom"/>
          </w:tcPr>
          <w:p w14:paraId="75934584">
            <w:pPr>
              <w:spacing w:line="240" w:lineRule="auto"/>
              <w:ind w:right="0" w:rightChars="0" w:firstLine="0" w:firstLineChars="0"/>
              <w:jc w:val="center"/>
              <w:rPr>
                <w:rFonts w:hint="eastAsia" w:ascii="Times New Roman" w:hAnsi="Times New Roman" w:eastAsia="仿宋" w:cs="Times New Roman"/>
                <w:b w:val="0"/>
                <w:bCs w:val="0"/>
                <w:sz w:val="21"/>
                <w:szCs w:val="21"/>
                <w:lang w:val="en-US" w:eastAsia="zh-CN"/>
              </w:rPr>
            </w:pPr>
          </w:p>
        </w:tc>
      </w:tr>
    </w:tbl>
    <w:p w14:paraId="2307953B">
      <w:pPr>
        <w:ind w:firstLine="0" w:firstLineChars="0"/>
        <w:outlineLvl w:val="9"/>
        <w:rPr>
          <w:rFonts w:hint="default" w:ascii="Times New Roman" w:hAnsi="Times New Roman" w:eastAsia="仿宋" w:cs="Times New Roman"/>
          <w:sz w:val="20"/>
          <w:szCs w:val="20"/>
        </w:rPr>
      </w:pPr>
      <w:r>
        <w:rPr>
          <w:rFonts w:hint="default" w:ascii="Times New Roman" w:hAnsi="Times New Roman" w:eastAsia="仿宋" w:cs="Times New Roman"/>
          <w:sz w:val="20"/>
          <w:szCs w:val="20"/>
        </w:rPr>
        <w:t>注：除表中列出的容积率修正系数外，其它容积率修正通过表中相邻容积率对应修正系数线性内插计算获取。</w:t>
      </w:r>
    </w:p>
    <w:p w14:paraId="4D8721EB">
      <w:pPr>
        <w:keepNext w:val="0"/>
        <w:keepLines w:val="0"/>
        <w:pageBreakBefore w:val="0"/>
        <w:widowControl/>
        <w:kinsoku/>
        <w:wordWrap/>
        <w:overflowPunct/>
        <w:topLinePunct w:val="0"/>
        <w:autoSpaceDE/>
        <w:autoSpaceDN/>
        <w:bidi w:val="0"/>
        <w:adjustRightInd w:val="0"/>
        <w:snapToGrid/>
        <w:spacing w:before="136" w:beforeLines="50"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2、土地使用年期修正</w:t>
      </w:r>
    </w:p>
    <w:p w14:paraId="7C7198E8">
      <w:pPr>
        <w:spacing w:line="360" w:lineRule="auto"/>
        <w:ind w:right="-334" w:firstLine="560" w:firstLineChars="20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（1）土地使用年期修正系数计算公式</w:t>
      </w:r>
    </w:p>
    <w:p w14:paraId="57BD8058">
      <w:pPr>
        <w:spacing w:before="240" w:beforeLines="100"/>
        <w:ind w:right="-335"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1－[1／(1＋r</w:t>
      </w:r>
      <w:r>
        <w:rPr>
          <w:rFonts w:hint="default" w:ascii="Times New Roman" w:hAnsi="Times New Roman" w:eastAsia="仿宋" w:cs="Times New Roman"/>
          <w:b w:val="0"/>
          <w:bCs w:val="0"/>
          <w:kern w:val="2"/>
          <w:sz w:val="28"/>
          <w:szCs w:val="28"/>
          <w:vertAlign w:val="subscript"/>
          <w:lang w:val="en-US" w:eastAsia="zh-CN" w:bidi="ar-SA"/>
        </w:rPr>
        <w:t>d</w:t>
      </w:r>
      <w:r>
        <w:rPr>
          <w:rFonts w:hint="default" w:ascii="Times New Roman" w:hAnsi="Times New Roman" w:eastAsia="仿宋" w:cs="Times New Roman"/>
          <w:b w:val="0"/>
          <w:bCs w:val="0"/>
          <w:kern w:val="2"/>
          <w:sz w:val="28"/>
          <w:szCs w:val="28"/>
          <w:lang w:val="en-US" w:eastAsia="zh-CN" w:bidi="ar-SA"/>
        </w:rPr>
        <w:t>)</w:t>
      </w:r>
      <w:r>
        <w:rPr>
          <w:rFonts w:hint="default" w:ascii="Times New Roman" w:hAnsi="Times New Roman" w:eastAsia="仿宋" w:cs="Times New Roman"/>
          <w:b w:val="0"/>
          <w:bCs w:val="0"/>
          <w:kern w:val="2"/>
          <w:sz w:val="28"/>
          <w:szCs w:val="28"/>
          <w:vertAlign w:val="superscript"/>
          <w:lang w:val="en-US" w:eastAsia="zh-CN" w:bidi="ar-SA"/>
        </w:rPr>
        <w:t>m</w:t>
      </w:r>
      <w:r>
        <w:rPr>
          <w:rFonts w:hint="default" w:ascii="Times New Roman" w:hAnsi="Times New Roman" w:eastAsia="仿宋" w:cs="Times New Roman"/>
          <w:b w:val="0"/>
          <w:bCs w:val="0"/>
          <w:kern w:val="2"/>
          <w:sz w:val="28"/>
          <w:szCs w:val="28"/>
          <w:lang w:val="en-US" w:eastAsia="zh-CN" w:bidi="ar-SA"/>
        </w:rPr>
        <w:t>]</w:t>
      </w:r>
    </w:p>
    <w:p w14:paraId="31333E11">
      <w:pPr>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K</w:t>
      </w:r>
      <w:r>
        <w:rPr>
          <w:rFonts w:hint="default" w:ascii="Times New Roman" w:hAnsi="Times New Roman" w:eastAsia="仿宋" w:cs="Times New Roman"/>
          <w:b w:val="0"/>
          <w:bCs w:val="0"/>
          <w:kern w:val="2"/>
          <w:sz w:val="28"/>
          <w:szCs w:val="28"/>
          <w:vertAlign w:val="subscript"/>
          <w:lang w:val="en-US" w:eastAsia="zh-CN" w:bidi="ar-SA"/>
        </w:rPr>
        <w:t>n</w:t>
      </w:r>
      <w:r>
        <w:rPr>
          <w:rFonts w:hint="default" w:ascii="Times New Roman" w:hAnsi="Times New Roman" w:eastAsia="仿宋" w:cs="Times New Roman"/>
          <w:b w:val="0"/>
          <w:bCs w:val="0"/>
          <w:kern w:val="2"/>
          <w:sz w:val="28"/>
          <w:szCs w:val="28"/>
          <w:lang w:val="en-US" w:eastAsia="zh-CN" w:bidi="ar-SA"/>
        </w:rPr>
        <w:t xml:space="preserve">＝——————————                          </w:t>
      </w:r>
    </w:p>
    <w:p w14:paraId="21632227">
      <w:pPr>
        <w:spacing w:after="240" w:afterLines="100"/>
        <w:ind w:right="-335"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1-[1／(1＋r</w:t>
      </w:r>
      <w:r>
        <w:rPr>
          <w:rFonts w:hint="default" w:ascii="Times New Roman" w:hAnsi="Times New Roman" w:eastAsia="仿宋" w:cs="Times New Roman"/>
          <w:b w:val="0"/>
          <w:bCs w:val="0"/>
          <w:kern w:val="2"/>
          <w:sz w:val="28"/>
          <w:szCs w:val="28"/>
          <w:vertAlign w:val="subscript"/>
          <w:lang w:val="en-US" w:eastAsia="zh-CN" w:bidi="ar-SA"/>
        </w:rPr>
        <w:t>d</w:t>
      </w:r>
      <w:r>
        <w:rPr>
          <w:rFonts w:hint="default" w:ascii="Times New Roman" w:hAnsi="Times New Roman" w:eastAsia="仿宋" w:cs="Times New Roman"/>
          <w:b w:val="0"/>
          <w:bCs w:val="0"/>
          <w:kern w:val="2"/>
          <w:sz w:val="28"/>
          <w:szCs w:val="28"/>
          <w:lang w:val="en-US" w:eastAsia="zh-CN" w:bidi="ar-SA"/>
        </w:rPr>
        <w:t>)</w:t>
      </w:r>
      <w:r>
        <w:rPr>
          <w:rFonts w:hint="default" w:ascii="Times New Roman" w:hAnsi="Times New Roman" w:eastAsia="仿宋" w:cs="Times New Roman"/>
          <w:b w:val="0"/>
          <w:bCs w:val="0"/>
          <w:kern w:val="2"/>
          <w:sz w:val="28"/>
          <w:szCs w:val="28"/>
          <w:vertAlign w:val="superscript"/>
          <w:lang w:val="en-US" w:eastAsia="zh-CN" w:bidi="ar-SA"/>
        </w:rPr>
        <w:t>ml</w:t>
      </w:r>
      <w:r>
        <w:rPr>
          <w:rFonts w:hint="default" w:ascii="Times New Roman" w:hAnsi="Times New Roman" w:eastAsia="仿宋" w:cs="Times New Roman"/>
          <w:b w:val="0"/>
          <w:bCs w:val="0"/>
          <w:kern w:val="2"/>
          <w:sz w:val="28"/>
          <w:szCs w:val="28"/>
          <w:lang w:val="en-US" w:eastAsia="zh-CN" w:bidi="ar-SA"/>
        </w:rPr>
        <w:t>]</w:t>
      </w:r>
    </w:p>
    <w:p w14:paraId="4B869348">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式中：K</w:t>
      </w:r>
      <w:r>
        <w:rPr>
          <w:rFonts w:hint="default" w:ascii="Times New Roman" w:hAnsi="Times New Roman" w:eastAsia="仿宋" w:cs="Times New Roman"/>
          <w:b w:val="0"/>
          <w:bCs w:val="0"/>
          <w:kern w:val="2"/>
          <w:sz w:val="28"/>
          <w:szCs w:val="28"/>
          <w:vertAlign w:val="subscript"/>
          <w:lang w:val="en-US" w:eastAsia="zh-CN" w:bidi="ar-SA"/>
        </w:rPr>
        <w:t>n</w:t>
      </w:r>
      <w:r>
        <w:rPr>
          <w:rFonts w:hint="default" w:ascii="Times New Roman" w:hAnsi="Times New Roman" w:eastAsia="仿宋" w:cs="Times New Roman"/>
          <w:b w:val="0"/>
          <w:bCs w:val="0"/>
          <w:kern w:val="2"/>
          <w:sz w:val="28"/>
          <w:szCs w:val="28"/>
          <w:lang w:val="en-US" w:eastAsia="zh-CN" w:bidi="ar-SA"/>
        </w:rPr>
        <w:t>——出让年期修正系数；</w:t>
      </w:r>
    </w:p>
    <w:p w14:paraId="586BA90E">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r</w:t>
      </w:r>
      <w:r>
        <w:rPr>
          <w:rFonts w:hint="default" w:ascii="Times New Roman" w:hAnsi="Times New Roman" w:eastAsia="仿宋" w:cs="Times New Roman"/>
          <w:b w:val="0"/>
          <w:bCs w:val="0"/>
          <w:kern w:val="2"/>
          <w:sz w:val="28"/>
          <w:szCs w:val="28"/>
          <w:vertAlign w:val="subscript"/>
          <w:lang w:val="en-US" w:eastAsia="zh-CN" w:bidi="ar-SA"/>
        </w:rPr>
        <w:t>d</w:t>
      </w:r>
      <w:r>
        <w:rPr>
          <w:rFonts w:hint="default" w:ascii="Times New Roman" w:hAnsi="Times New Roman" w:eastAsia="仿宋" w:cs="Times New Roman"/>
          <w:b w:val="0"/>
          <w:bCs w:val="0"/>
          <w:kern w:val="2"/>
          <w:sz w:val="28"/>
          <w:szCs w:val="28"/>
          <w:lang w:val="en-US" w:eastAsia="zh-CN" w:bidi="ar-SA"/>
        </w:rPr>
        <w:t>——土地还原率；</w:t>
      </w:r>
    </w:p>
    <w:p w14:paraId="64DF2C1D">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m</w:t>
      </w:r>
      <w:r>
        <w:rPr>
          <w:rFonts w:hint="default" w:ascii="Times New Roman" w:hAnsi="Times New Roman" w:eastAsia="仿宋" w:cs="Times New Roman"/>
          <w:b w:val="0"/>
          <w:bCs w:val="0"/>
          <w:kern w:val="2"/>
          <w:sz w:val="28"/>
          <w:szCs w:val="28"/>
          <w:vertAlign w:val="superscript"/>
          <w:lang w:val="en-US" w:eastAsia="zh-CN" w:bidi="ar-SA"/>
        </w:rPr>
        <w:t>l</w:t>
      </w:r>
      <w:r>
        <w:rPr>
          <w:rFonts w:hint="default" w:ascii="Times New Roman" w:hAnsi="Times New Roman" w:eastAsia="仿宋" w:cs="Times New Roman"/>
          <w:b w:val="0"/>
          <w:bCs w:val="0"/>
          <w:kern w:val="2"/>
          <w:sz w:val="28"/>
          <w:szCs w:val="28"/>
          <w:lang w:val="en-US" w:eastAsia="zh-CN" w:bidi="ar-SA"/>
        </w:rPr>
        <w:t>——基准地价对应的土地使用年限；</w:t>
      </w:r>
    </w:p>
    <w:p w14:paraId="77787FF1">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m——实际出让年期或剩余出让年期。</w:t>
      </w:r>
    </w:p>
    <w:p w14:paraId="204F17A7">
      <w:pPr>
        <w:spacing w:line="360" w:lineRule="auto"/>
        <w:ind w:right="-334" w:firstLine="0" w:firstLineChars="0"/>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（2）土地使用年期修正系数</w:t>
      </w:r>
    </w:p>
    <w:p w14:paraId="44948128">
      <w:pPr>
        <w:spacing w:line="360" w:lineRule="auto"/>
        <w:ind w:right="-334" w:firstLine="0" w:firstLineChars="0"/>
        <w:rPr>
          <w:rFonts w:hint="eastAsia" w:ascii="仿宋" w:hAnsi="仿宋" w:eastAsia="仿宋" w:cs="仿宋"/>
          <w:b w:val="0"/>
          <w:bCs w:val="0"/>
          <w:kern w:val="2"/>
          <w:sz w:val="28"/>
          <w:szCs w:val="28"/>
          <w:highlight w:val="none"/>
          <w:lang w:val="en-US" w:eastAsia="zh-CN" w:bidi="ar-SA"/>
        </w:rPr>
      </w:pPr>
      <w:r>
        <w:rPr>
          <w:rFonts w:hint="default" w:ascii="Times New Roman" w:hAnsi="Times New Roman" w:eastAsia="仿宋" w:cs="Times New Roman"/>
          <w:b w:val="0"/>
          <w:bCs w:val="0"/>
          <w:kern w:val="2"/>
          <w:sz w:val="28"/>
          <w:szCs w:val="28"/>
          <w:highlight w:val="none"/>
          <w:lang w:val="en-US" w:eastAsia="zh-CN" w:bidi="ar-SA"/>
        </w:rPr>
        <w:t>　　根据上述公式，分别测算出各类用地土地使用年</w:t>
      </w:r>
      <w:r>
        <w:rPr>
          <w:rFonts w:hint="eastAsia" w:ascii="仿宋" w:hAnsi="仿宋" w:eastAsia="仿宋" w:cs="仿宋"/>
          <w:b w:val="0"/>
          <w:bCs w:val="0"/>
          <w:kern w:val="2"/>
          <w:sz w:val="28"/>
          <w:szCs w:val="28"/>
          <w:highlight w:val="none"/>
          <w:lang w:val="en-US" w:eastAsia="zh-CN" w:bidi="ar-SA"/>
        </w:rPr>
        <w:t>期修正系数。</w:t>
      </w:r>
    </w:p>
    <w:p w14:paraId="66F7EF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Times New Roman" w:hAnsi="Times New Roman" w:eastAsia="仿宋" w:cs="仿宋"/>
          <w:caps w:val="0"/>
          <w:smallCaps w:val="0"/>
        </w:rPr>
      </w:pPr>
      <w:r>
        <w:rPr>
          <w:rFonts w:hint="eastAsia" w:ascii="Times New Roman" w:hAnsi="Times New Roman" w:eastAsia="仿宋" w:cs="仿宋"/>
          <w:b/>
          <w:bCs w:val="0"/>
          <w:caps w:val="0"/>
          <w:smallCaps w:val="0"/>
          <w:color w:val="auto"/>
          <w:sz w:val="24"/>
          <w:szCs w:val="24"/>
          <w:highlight w:val="none"/>
          <w:lang w:val="en-US" w:eastAsia="zh-CN"/>
        </w:rPr>
        <w:t>表</w:t>
      </w:r>
      <w:r>
        <w:rPr>
          <w:rFonts w:hint="eastAsia" w:eastAsia="仿宋" w:cs="仿宋"/>
          <w:b/>
          <w:bCs w:val="0"/>
          <w:caps w:val="0"/>
          <w:smallCaps w:val="0"/>
          <w:color w:val="auto"/>
          <w:sz w:val="24"/>
          <w:szCs w:val="24"/>
          <w:highlight w:val="none"/>
          <w:lang w:val="en-US" w:eastAsia="zh-CN"/>
        </w:rPr>
        <w:t>2-25</w:t>
      </w:r>
      <w:r>
        <w:rPr>
          <w:rFonts w:hint="eastAsia" w:ascii="Times New Roman" w:hAnsi="Times New Roman" w:eastAsia="仿宋" w:cs="仿宋"/>
          <w:b/>
          <w:bCs w:val="0"/>
          <w:caps w:val="0"/>
          <w:smallCaps w:val="0"/>
          <w:color w:val="auto"/>
          <w:sz w:val="24"/>
          <w:szCs w:val="24"/>
          <w:highlight w:val="none"/>
          <w:lang w:val="en-US" w:eastAsia="zh-CN"/>
        </w:rPr>
        <w:t>商业服务业用地土地剩余使用年期修正系数表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76"/>
        <w:gridCol w:w="812"/>
        <w:gridCol w:w="918"/>
        <w:gridCol w:w="918"/>
        <w:gridCol w:w="919"/>
        <w:gridCol w:w="919"/>
        <w:gridCol w:w="919"/>
        <w:gridCol w:w="919"/>
        <w:gridCol w:w="919"/>
      </w:tblGrid>
      <w:tr w14:paraId="48FD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467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0B9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8A5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96B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E92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7AC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3D8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AE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90D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8</w:t>
            </w:r>
          </w:p>
        </w:tc>
      </w:tr>
      <w:tr w14:paraId="12B0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B76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09B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0.0566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57D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0.1105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E4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0.1617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AB5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0.2104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F5C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0.2567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474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0.3008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E18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0.3426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CE2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0.3825 </w:t>
            </w:r>
          </w:p>
        </w:tc>
      </w:tr>
      <w:tr w14:paraId="28FD2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0E1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48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9</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68C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E90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11</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3E3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12</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148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A7E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F30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15</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87A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16</w:t>
            </w:r>
          </w:p>
        </w:tc>
      </w:tr>
      <w:tr w14:paraId="60DC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8F8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522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0.4203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3D2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0.4564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441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0.4906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A9D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0.5232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0D1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0.5541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6E7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0.5836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DF1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0.6116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681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0.6382 </w:t>
            </w:r>
          </w:p>
        </w:tc>
      </w:tr>
      <w:tr w14:paraId="1F1F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A1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FD8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17</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E4B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18</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0F6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19</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E9B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BEC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21</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07A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22</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6B2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23</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1F1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24</w:t>
            </w:r>
          </w:p>
        </w:tc>
      </w:tr>
      <w:tr w14:paraId="0CEA5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4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59B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0.6635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9FB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0.6876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285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0.7105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8F3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0.7323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079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0.7530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6CC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0.7727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0D1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0.7914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ED7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0.8092 </w:t>
            </w:r>
          </w:p>
        </w:tc>
      </w:tr>
      <w:tr w14:paraId="38B6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93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A9B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25</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DAA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26</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EF7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27</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59B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28</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D0F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29</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758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30</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1AF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31</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E3E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32</w:t>
            </w:r>
          </w:p>
        </w:tc>
      </w:tr>
      <w:tr w14:paraId="6753B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E76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57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0.8261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189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0.8422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D83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0.8576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54F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0.8721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321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0.8860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EA6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0.8991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799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0.9116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A0F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0.9235 </w:t>
            </w:r>
          </w:p>
        </w:tc>
      </w:tr>
      <w:tr w14:paraId="174AE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F11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B37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33</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BC2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615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35</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1B9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36</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5DB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37</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495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38</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C88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39</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AB3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40</w:t>
            </w:r>
          </w:p>
        </w:tc>
      </w:tr>
      <w:tr w14:paraId="0E2C7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BBE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4C2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0.9349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30B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0.9456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70A2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0.9559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E75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0.9656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BB2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0.9749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113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0.9837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135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0.9920 </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8C6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1.0000 </w:t>
            </w:r>
          </w:p>
        </w:tc>
      </w:tr>
    </w:tbl>
    <w:p w14:paraId="773700CB">
      <w:pPr>
        <w:rPr>
          <w:rFonts w:hint="eastAsia" w:ascii="Times New Roman" w:hAnsi="Times New Roman" w:eastAsia="仿宋" w:cs="仿宋"/>
          <w:b/>
          <w:bCs w:val="0"/>
          <w:caps w:val="0"/>
          <w:smallCaps w:val="0"/>
          <w:color w:val="auto"/>
          <w:sz w:val="24"/>
          <w:szCs w:val="24"/>
          <w:highlight w:val="none"/>
          <w:lang w:val="en-US" w:eastAsia="zh-CN"/>
        </w:rPr>
      </w:pPr>
      <w:r>
        <w:rPr>
          <w:rFonts w:hint="eastAsia" w:ascii="Times New Roman" w:hAnsi="Times New Roman" w:eastAsia="仿宋" w:cs="仿宋"/>
          <w:b/>
          <w:bCs w:val="0"/>
          <w:caps w:val="0"/>
          <w:smallCaps w:val="0"/>
          <w:color w:val="auto"/>
          <w:sz w:val="24"/>
          <w:szCs w:val="24"/>
          <w:highlight w:val="none"/>
          <w:lang w:val="en-US" w:eastAsia="zh-CN"/>
        </w:rPr>
        <w:br w:type="page"/>
      </w:r>
    </w:p>
    <w:p w14:paraId="7DC427F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Times New Roman" w:hAnsi="Times New Roman" w:eastAsia="仿宋" w:cs="仿宋"/>
          <w:caps w:val="0"/>
          <w:smallCaps w:val="0"/>
        </w:rPr>
      </w:pPr>
      <w:r>
        <w:rPr>
          <w:rFonts w:hint="eastAsia" w:ascii="Times New Roman" w:hAnsi="Times New Roman" w:eastAsia="仿宋" w:cs="仿宋"/>
          <w:b/>
          <w:bCs w:val="0"/>
          <w:caps w:val="0"/>
          <w:smallCaps w:val="0"/>
          <w:color w:val="auto"/>
          <w:sz w:val="24"/>
          <w:szCs w:val="24"/>
          <w:highlight w:val="none"/>
          <w:lang w:val="en-US" w:eastAsia="zh-CN"/>
        </w:rPr>
        <w:t>表</w:t>
      </w:r>
      <w:r>
        <w:rPr>
          <w:rFonts w:hint="eastAsia" w:eastAsia="仿宋" w:cs="仿宋"/>
          <w:b/>
          <w:bCs w:val="0"/>
          <w:caps w:val="0"/>
          <w:smallCaps w:val="0"/>
          <w:color w:val="auto"/>
          <w:sz w:val="24"/>
          <w:szCs w:val="24"/>
          <w:highlight w:val="none"/>
          <w:lang w:val="en-US" w:eastAsia="zh-CN"/>
        </w:rPr>
        <w:t>2-26</w:t>
      </w:r>
      <w:r>
        <w:rPr>
          <w:rFonts w:hint="eastAsia" w:ascii="Times New Roman" w:hAnsi="Times New Roman" w:eastAsia="仿宋" w:cs="仿宋"/>
          <w:b/>
          <w:bCs w:val="0"/>
          <w:caps w:val="0"/>
          <w:smallCaps w:val="0"/>
          <w:color w:val="auto"/>
          <w:sz w:val="24"/>
          <w:szCs w:val="24"/>
          <w:highlight w:val="none"/>
          <w:lang w:val="en-US" w:eastAsia="zh-CN"/>
        </w:rPr>
        <w:t>居住用地土地剩余使用年期修正系数表</w:t>
      </w:r>
    </w:p>
    <w:tbl>
      <w:tblPr>
        <w:tblStyle w:val="14"/>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9"/>
        <w:gridCol w:w="955"/>
        <w:gridCol w:w="956"/>
        <w:gridCol w:w="956"/>
        <w:gridCol w:w="956"/>
        <w:gridCol w:w="956"/>
        <w:gridCol w:w="956"/>
        <w:gridCol w:w="957"/>
        <w:gridCol w:w="959"/>
      </w:tblGrid>
      <w:tr w14:paraId="34A6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976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A1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EA8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36C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FFD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7C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7D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B30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B8E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8</w:t>
            </w:r>
          </w:p>
        </w:tc>
      </w:tr>
      <w:tr w14:paraId="00712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BC0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CBD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0.0435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BE6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0.0852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7B6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0.1252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5E7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0.1636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1FD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0.2003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FD9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0.2356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BB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0.2694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188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0.3018 </w:t>
            </w:r>
          </w:p>
        </w:tc>
      </w:tr>
      <w:tr w14:paraId="57FA1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081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16C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C06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6C0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A75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10A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646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14</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8D5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8A8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16</w:t>
            </w:r>
          </w:p>
        </w:tc>
      </w:tr>
      <w:tr w14:paraId="520B9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F0F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8C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0.3329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D9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0.3627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080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0.3912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8AB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0.4186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7C0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0.4449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653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0.4700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5E2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0.4942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E28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0.5173 </w:t>
            </w:r>
          </w:p>
        </w:tc>
      </w:tr>
      <w:tr w14:paraId="38019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249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E3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5D0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18</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6E6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579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785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609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FA2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BD9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24</w:t>
            </w:r>
          </w:p>
        </w:tc>
      </w:tr>
      <w:tr w14:paraId="6734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0E3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6E5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0.5395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5B6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0.5607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334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0.5811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777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0.6007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278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0.6194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2E8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0.6374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C2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0.6546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3A7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0.6712 </w:t>
            </w:r>
          </w:p>
        </w:tc>
      </w:tr>
      <w:tr w14:paraId="4EDC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4ED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57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895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26</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31F7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2C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28</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F6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759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30</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A61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A14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32</w:t>
            </w:r>
          </w:p>
        </w:tc>
      </w:tr>
      <w:tr w14:paraId="4E62E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D6F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272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0.6870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759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0.7022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872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0.7168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041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0.7307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4AE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0.7441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03E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0.7569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A0C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0.7692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85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0.7810 </w:t>
            </w:r>
          </w:p>
        </w:tc>
      </w:tr>
      <w:tr w14:paraId="453B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DFF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15B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D29A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34</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F7C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004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36</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CCB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423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38</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DA2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90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40</w:t>
            </w:r>
          </w:p>
        </w:tc>
      </w:tr>
      <w:tr w14:paraId="1E06E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2FB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DCD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0.7924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1BA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0.8032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8ED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0.8136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E6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0.8236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4BF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0.8331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897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0.8423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779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0.8511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97E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0.8595 </w:t>
            </w:r>
          </w:p>
        </w:tc>
      </w:tr>
      <w:tr w14:paraId="066F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5F8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C5B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D72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DFD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0BDC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44</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D23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21C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46</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7B2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D8F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48</w:t>
            </w:r>
          </w:p>
        </w:tc>
      </w:tr>
      <w:tr w14:paraId="27220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11C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05B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0.8676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0F9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0.8753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CC7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0.8827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F0B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0.8899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BD5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0.8967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448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0.9032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14B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0.9095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18B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0.9155 </w:t>
            </w:r>
          </w:p>
        </w:tc>
      </w:tr>
      <w:tr w14:paraId="45D3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BEA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6D9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07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50</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BC6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2A5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298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126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54</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17A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439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56</w:t>
            </w:r>
          </w:p>
        </w:tc>
      </w:tr>
      <w:tr w14:paraId="3453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CD5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FB0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0.9213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B65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0.9268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06E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0.9321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998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0.9372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323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0.9421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F23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0.9467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766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0.9512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C2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0.9555 </w:t>
            </w:r>
          </w:p>
        </w:tc>
      </w:tr>
      <w:tr w14:paraId="77E2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C2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4EBC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119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58</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45C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49B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60</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B36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61</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43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62</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84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63</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E8C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64</w:t>
            </w:r>
          </w:p>
        </w:tc>
      </w:tr>
      <w:tr w14:paraId="13907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650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072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0.9596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EBC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0.9636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023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0.9674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243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0.9710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2E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0.9745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6670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0.9778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107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0.9810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09F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0.9841 </w:t>
            </w:r>
          </w:p>
        </w:tc>
      </w:tr>
      <w:tr w14:paraId="4B88F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A92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73F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65</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22C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66</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289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67</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BBD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68</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9F0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69</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BA1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70</w:t>
            </w:r>
          </w:p>
        </w:tc>
        <w:tc>
          <w:tcPr>
            <w:tcW w:w="1099" w:type="pct"/>
            <w:gridSpan w:val="2"/>
            <w:vMerge w:val="restart"/>
            <w:tcBorders>
              <w:top w:val="single" w:color="000000" w:sz="4" w:space="0"/>
              <w:left w:val="single" w:color="000000" w:sz="4" w:space="0"/>
              <w:right w:val="single" w:color="000000" w:sz="4" w:space="0"/>
            </w:tcBorders>
            <w:shd w:val="clear" w:color="auto" w:fill="auto"/>
            <w:noWrap/>
            <w:vAlign w:val="center"/>
          </w:tcPr>
          <w:p w14:paraId="5E5F6A9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r w14:paraId="4A28A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91F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AEC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0.9870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6E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0.9898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4B9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0.9925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C5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0.9951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65F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0.9976 </w:t>
            </w:r>
          </w:p>
        </w:tc>
        <w:tc>
          <w:tcPr>
            <w:tcW w:w="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C5D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1.0000 </w:t>
            </w:r>
          </w:p>
        </w:tc>
        <w:tc>
          <w:tcPr>
            <w:tcW w:w="1099" w:type="pct"/>
            <w:gridSpan w:val="2"/>
            <w:vMerge w:val="continue"/>
            <w:tcBorders>
              <w:left w:val="single" w:color="000000" w:sz="4" w:space="0"/>
              <w:bottom w:val="single" w:color="000000" w:sz="4" w:space="0"/>
              <w:right w:val="single" w:color="000000" w:sz="4" w:space="0"/>
            </w:tcBorders>
            <w:shd w:val="clear" w:color="auto" w:fill="auto"/>
            <w:noWrap/>
            <w:vAlign w:val="center"/>
          </w:tcPr>
          <w:p w14:paraId="4DD7B21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bl>
    <w:p w14:paraId="31C6F626">
      <w:pPr>
        <w:keepNext w:val="0"/>
        <w:keepLines w:val="0"/>
        <w:pageBreakBefore w:val="0"/>
        <w:kinsoku/>
        <w:wordWrap/>
        <w:overflowPunct/>
        <w:topLinePunct w:val="0"/>
        <w:autoSpaceDE/>
        <w:autoSpaceDN/>
        <w:bidi w:val="0"/>
        <w:adjustRightInd/>
        <w:snapToGrid/>
        <w:outlineLvl w:val="9"/>
        <w:rPr>
          <w:rFonts w:hint="eastAsia" w:ascii="Times New Roman" w:hAnsi="Times New Roman" w:eastAsia="仿宋" w:cs="仿宋"/>
          <w:caps w:val="0"/>
          <w:smallCaps w:val="0"/>
          <w:color w:val="auto"/>
          <w:highlight w:val="none"/>
        </w:rPr>
      </w:pPr>
      <w:r>
        <w:rPr>
          <w:rFonts w:hint="eastAsia" w:ascii="Times New Roman" w:hAnsi="Times New Roman" w:eastAsia="仿宋" w:cs="仿宋"/>
          <w:caps w:val="0"/>
          <w:smallCaps w:val="0"/>
          <w:color w:val="auto"/>
          <w:highlight w:val="none"/>
        </w:rPr>
        <w:br w:type="page"/>
      </w:r>
    </w:p>
    <w:tbl>
      <w:tblPr>
        <w:tblStyle w:val="14"/>
        <w:tblW w:w="5134" w:type="pct"/>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76"/>
        <w:gridCol w:w="933"/>
        <w:gridCol w:w="934"/>
        <w:gridCol w:w="934"/>
        <w:gridCol w:w="934"/>
        <w:gridCol w:w="934"/>
        <w:gridCol w:w="934"/>
        <w:gridCol w:w="934"/>
        <w:gridCol w:w="940"/>
      </w:tblGrid>
      <w:tr w14:paraId="67B3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000" w:type="pct"/>
            <w:gridSpan w:val="9"/>
            <w:tcBorders>
              <w:top w:val="nil"/>
              <w:left w:val="nil"/>
              <w:bottom w:val="nil"/>
              <w:right w:val="nil"/>
            </w:tcBorders>
            <w:shd w:val="clear" w:color="auto" w:fill="auto"/>
            <w:noWrap/>
            <w:vAlign w:val="center"/>
          </w:tcPr>
          <w:p w14:paraId="6D09A9B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outlineLvl w:val="9"/>
              <w:rPr>
                <w:rFonts w:hint="eastAsia" w:ascii="Times New Roman" w:hAnsi="Times New Roman" w:eastAsia="仿宋" w:cs="仿宋"/>
                <w:b/>
                <w:bCs/>
                <w:i w:val="0"/>
                <w:iCs w:val="0"/>
                <w:caps w:val="0"/>
                <w:smallCaps w:val="0"/>
                <w:color w:val="auto"/>
                <w:sz w:val="22"/>
                <w:szCs w:val="22"/>
                <w:highlight w:val="none"/>
                <w:u w:val="none"/>
              </w:rPr>
            </w:pPr>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2-27</w:t>
            </w:r>
            <w:r>
              <w:rPr>
                <w:rFonts w:hint="eastAsia" w:ascii="Times New Roman" w:hAnsi="Times New Roman" w:eastAsia="仿宋" w:cs="仿宋"/>
                <w:b/>
                <w:caps w:val="0"/>
                <w:smallCaps w:val="0"/>
                <w:color w:val="auto"/>
                <w:sz w:val="24"/>
                <w:szCs w:val="24"/>
                <w:highlight w:val="none"/>
                <w:lang w:val="en-US" w:eastAsia="zh-CN"/>
              </w:rPr>
              <w:t>工矿用地土地剩余使用年期修正系数表</w:t>
            </w:r>
          </w:p>
        </w:tc>
      </w:tr>
      <w:tr w14:paraId="53C1A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8D4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974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br w:type="page"/>
            </w:r>
            <w:r>
              <w:rPr>
                <w:rFonts w:hint="eastAsia" w:ascii="Times New Roman" w:hAnsi="Times New Roman" w:eastAsia="仿宋" w:cs="仿宋"/>
                <w:b w:val="0"/>
                <w:bCs w:val="0"/>
                <w:caps w:val="0"/>
                <w:smallCaps w:val="0"/>
                <w:color w:val="auto"/>
                <w:sz w:val="21"/>
                <w:szCs w:val="21"/>
                <w:highlight w:val="none"/>
                <w:lang w:val="en-US" w:eastAsia="zh-CN"/>
              </w:rPr>
              <w:t>1</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3E4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9A2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83E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49F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064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C5F7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455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8</w:t>
            </w:r>
          </w:p>
        </w:tc>
      </w:tr>
      <w:tr w14:paraId="0FCE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C2E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E91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0.0458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76C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0.0897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55F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0.1319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479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0.1725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1B5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0.2114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C5B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0.2488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FFB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0.2847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AC5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0.3191 </w:t>
            </w:r>
          </w:p>
        </w:tc>
      </w:tr>
      <w:tr w14:paraId="66184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7B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BE1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9</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7F0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1D4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11</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775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12</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567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1C4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14</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CBE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15</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DEA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16</w:t>
            </w:r>
          </w:p>
        </w:tc>
      </w:tr>
      <w:tr w14:paraId="0C4F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3E1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294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0.3522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4EE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0.3840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E26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0.4145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A1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0.4438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6A3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0.4719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6F7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0.4989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1AD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0.5249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FA3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0.5498 </w:t>
            </w:r>
          </w:p>
        </w:tc>
      </w:tr>
      <w:tr w14:paraId="587E3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1A2C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110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17</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CDD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18</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1D3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19</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627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5A7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21</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56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22</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202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23</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075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24</w:t>
            </w:r>
          </w:p>
        </w:tc>
      </w:tr>
      <w:tr w14:paraId="448E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2F0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98A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0.5737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80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0.5967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4D0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0.6187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349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0.6399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5BB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0.6603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2C4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0.6798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BA76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0.6985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7D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0.7165 </w:t>
            </w:r>
          </w:p>
        </w:tc>
      </w:tr>
      <w:tr w14:paraId="2D23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3B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B3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25</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CC2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26</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8BF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27</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F81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28</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BB1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29</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A4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30</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066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31</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111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32</w:t>
            </w:r>
          </w:p>
        </w:tc>
      </w:tr>
      <w:tr w14:paraId="7D50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60D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3F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0.7338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56E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0.7504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BCA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0.7664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9A7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0.7817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315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0.7964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D42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0.8105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4F2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0.8241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270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0.8371 </w:t>
            </w:r>
          </w:p>
        </w:tc>
      </w:tr>
      <w:tr w14:paraId="7904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A2C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458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33</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034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34</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C92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35</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528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36</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546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37</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DCF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38</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8AE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39</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3C6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40</w:t>
            </w:r>
          </w:p>
        </w:tc>
      </w:tr>
      <w:tr w14:paraId="27BB9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43E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63A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0.8496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A4E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0.8616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5BE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0.8731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CA2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0.8842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2DF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0.8948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0B3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0.9050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147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0.9148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99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0.9242 </w:t>
            </w:r>
          </w:p>
        </w:tc>
      </w:tr>
      <w:tr w14:paraId="25993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0A6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9CC1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41</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249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42</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98F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43</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AE2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44</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B5E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45</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F77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46</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CC5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47</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6D0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48</w:t>
            </w:r>
          </w:p>
        </w:tc>
      </w:tr>
      <w:tr w14:paraId="449A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D14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C64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0.9332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679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0.9419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184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0.9503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29E4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0.9583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66D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0.9659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158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0.9733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A87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0.9804 </w:t>
            </w:r>
          </w:p>
        </w:tc>
        <w:tc>
          <w:tcPr>
            <w:tcW w:w="5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958C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0.9872 </w:t>
            </w:r>
          </w:p>
        </w:tc>
      </w:tr>
      <w:tr w14:paraId="5849A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F80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118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49</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A56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50</w:t>
            </w:r>
          </w:p>
        </w:tc>
        <w:tc>
          <w:tcPr>
            <w:tcW w:w="3199" w:type="pct"/>
            <w:gridSpan w:val="6"/>
            <w:vMerge w:val="restart"/>
            <w:tcBorders>
              <w:top w:val="single" w:color="000000" w:sz="4" w:space="0"/>
              <w:left w:val="single" w:color="000000" w:sz="4" w:space="0"/>
              <w:right w:val="single" w:color="000000" w:sz="4" w:space="0"/>
            </w:tcBorders>
            <w:shd w:val="clear" w:color="auto" w:fill="auto"/>
            <w:noWrap/>
            <w:vAlign w:val="center"/>
          </w:tcPr>
          <w:p w14:paraId="2285BC1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r w14:paraId="092B8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A62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5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C3A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0.9937 </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3F8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1.0000 </w:t>
            </w:r>
          </w:p>
        </w:tc>
        <w:tc>
          <w:tcPr>
            <w:tcW w:w="3199" w:type="pct"/>
            <w:gridSpan w:val="6"/>
            <w:vMerge w:val="continue"/>
            <w:tcBorders>
              <w:left w:val="single" w:color="000000" w:sz="4" w:space="0"/>
              <w:bottom w:val="single" w:color="000000" w:sz="4" w:space="0"/>
              <w:right w:val="single" w:color="000000" w:sz="4" w:space="0"/>
            </w:tcBorders>
            <w:shd w:val="clear" w:color="auto" w:fill="auto"/>
            <w:noWrap/>
            <w:vAlign w:val="center"/>
          </w:tcPr>
          <w:p w14:paraId="09B6623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bl>
    <w:p w14:paraId="3E006E9D">
      <w:pPr>
        <w:keepNext w:val="0"/>
        <w:keepLines w:val="0"/>
        <w:pageBreakBefore w:val="0"/>
        <w:kinsoku/>
        <w:wordWrap/>
        <w:overflowPunct/>
        <w:topLinePunct w:val="0"/>
        <w:autoSpaceDE/>
        <w:autoSpaceDN/>
        <w:bidi w:val="0"/>
        <w:adjustRightInd/>
        <w:snapToGrid/>
        <w:jc w:val="center"/>
        <w:outlineLvl w:val="9"/>
        <w:rPr>
          <w:rFonts w:hint="eastAsia" w:ascii="Times New Roman" w:hAnsi="Times New Roman" w:eastAsia="仿宋" w:cs="仿宋"/>
          <w:caps w:val="0"/>
          <w:smallCaps w:val="0"/>
          <w:color w:val="auto"/>
          <w:highlight w:val="none"/>
        </w:rPr>
      </w:pPr>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2-28</w:t>
      </w:r>
      <w:r>
        <w:rPr>
          <w:rFonts w:hint="eastAsia" w:ascii="Times New Roman" w:hAnsi="Times New Roman" w:eastAsia="仿宋" w:cs="仿宋"/>
          <w:b/>
          <w:caps w:val="0"/>
          <w:smallCaps w:val="0"/>
          <w:color w:val="auto"/>
          <w:sz w:val="24"/>
          <w:szCs w:val="24"/>
          <w:highlight w:val="none"/>
          <w:lang w:val="en-US" w:eastAsia="zh-CN"/>
        </w:rPr>
        <w:t xml:space="preserve"> 公共管理与公共服务用地土地剩余使用年期修正系数表</w:t>
      </w:r>
    </w:p>
    <w:tbl>
      <w:tblPr>
        <w:tblStyle w:val="14"/>
        <w:tblW w:w="5123" w:type="pct"/>
        <w:tblInd w:w="-2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6"/>
        <w:gridCol w:w="953"/>
        <w:gridCol w:w="954"/>
        <w:gridCol w:w="954"/>
        <w:gridCol w:w="954"/>
        <w:gridCol w:w="954"/>
        <w:gridCol w:w="955"/>
        <w:gridCol w:w="955"/>
        <w:gridCol w:w="958"/>
      </w:tblGrid>
      <w:tr w14:paraId="07F2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63A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7F6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0C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294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84A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618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0F0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832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54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8</w:t>
            </w:r>
          </w:p>
        </w:tc>
      </w:tr>
      <w:tr w14:paraId="4019F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665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E6E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0.0469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70D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0.0920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244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0.1351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4FE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0.1765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8EF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0.2162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DAB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0.2542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30F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0.2907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58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0.3256 </w:t>
            </w:r>
          </w:p>
        </w:tc>
      </w:tr>
      <w:tr w14:paraId="46E40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ECF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8F3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96C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3CF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11</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404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12</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D76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A089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14</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1A5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D11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16</w:t>
            </w:r>
          </w:p>
        </w:tc>
      </w:tr>
      <w:tr w14:paraId="2C9C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EE6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0FA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0.3592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C8A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0.3913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1C8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0.4221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CB2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0.4517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6B2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0.4800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2E5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0.5071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0F9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0.5332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04C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0.5581 </w:t>
            </w:r>
          </w:p>
        </w:tc>
      </w:tr>
      <w:tr w14:paraId="7E3B1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7CB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40C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17</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D0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18</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BA3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2BD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9B4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21</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401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22</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1D4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71E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24</w:t>
            </w:r>
          </w:p>
        </w:tc>
      </w:tr>
      <w:tr w14:paraId="591CE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874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A2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0.5821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F3A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0.6050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F2E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0.6270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0C8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0.6481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CB4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0.6684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E9F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0.6877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E04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0.7063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CA3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0.7242 </w:t>
            </w:r>
          </w:p>
        </w:tc>
      </w:tr>
      <w:tr w14:paraId="6DF91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50E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207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25</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91CF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26</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E3C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27</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2D1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28</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43F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97C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30</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631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C7A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32</w:t>
            </w:r>
          </w:p>
        </w:tc>
      </w:tr>
      <w:tr w14:paraId="29BE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2B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448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0.7413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CFB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0.7576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945F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0.7734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641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0.7884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796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0.8029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80D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0.8167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788D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0.8300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45F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0.8427 </w:t>
            </w:r>
          </w:p>
        </w:tc>
      </w:tr>
      <w:tr w14:paraId="347F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407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365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33</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2B9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34</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B46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35</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5CD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36</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F21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37</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265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38</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3709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39</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AEB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40</w:t>
            </w:r>
          </w:p>
        </w:tc>
      </w:tr>
      <w:tr w14:paraId="2AE56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3D5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7A1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0.8549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19C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0.8666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EBE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0.8778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2B3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0.8886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A4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0.8989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1F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0.9088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066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0.9183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344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0.9274 </w:t>
            </w:r>
          </w:p>
        </w:tc>
      </w:tr>
      <w:tr w14:paraId="61389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91B6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6C9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41</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D23B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42</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26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43</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537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44</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FFF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45</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2AD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46</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6E7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47</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366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48</w:t>
            </w:r>
          </w:p>
        </w:tc>
      </w:tr>
      <w:tr w14:paraId="7C0E9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3C7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128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0.9361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4AD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0.9444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A3F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0.9524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6D8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0.9601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89D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0.9675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A58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0.9746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4AF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0.9813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92E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0.9878 </w:t>
            </w:r>
          </w:p>
        </w:tc>
      </w:tr>
      <w:tr w14:paraId="6424D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468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615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49</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161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50</w:t>
            </w:r>
          </w:p>
        </w:tc>
        <w:tc>
          <w:tcPr>
            <w:tcW w:w="5601" w:type="dxa"/>
            <w:gridSpan w:val="6"/>
            <w:vMerge w:val="restart"/>
            <w:tcBorders>
              <w:top w:val="single" w:color="000000" w:sz="4" w:space="0"/>
              <w:left w:val="single" w:color="000000" w:sz="4" w:space="0"/>
              <w:right w:val="single" w:color="000000" w:sz="4" w:space="0"/>
            </w:tcBorders>
            <w:shd w:val="clear" w:color="auto" w:fill="auto"/>
            <w:noWrap/>
            <w:vAlign w:val="center"/>
          </w:tcPr>
          <w:p w14:paraId="0BB227A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r w14:paraId="244A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D7A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83D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0.9940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643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1.0000 </w:t>
            </w:r>
          </w:p>
        </w:tc>
        <w:tc>
          <w:tcPr>
            <w:tcW w:w="5601" w:type="dxa"/>
            <w:gridSpan w:val="6"/>
            <w:vMerge w:val="continue"/>
            <w:tcBorders>
              <w:left w:val="single" w:color="000000" w:sz="4" w:space="0"/>
              <w:bottom w:val="single" w:color="000000" w:sz="4" w:space="0"/>
              <w:right w:val="single" w:color="000000" w:sz="4" w:space="0"/>
            </w:tcBorders>
            <w:shd w:val="clear" w:color="auto" w:fill="auto"/>
            <w:noWrap/>
            <w:vAlign w:val="center"/>
          </w:tcPr>
          <w:p w14:paraId="411EA5E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bl>
    <w:p w14:paraId="4F206882">
      <w:pPr>
        <w:jc w:val="center"/>
        <w:rPr>
          <w:rFonts w:hint="eastAsia" w:ascii="Times New Roman" w:hAnsi="Times New Roman" w:eastAsia="仿宋" w:cs="仿宋"/>
          <w:caps w:val="0"/>
          <w:smallCaps w:val="0"/>
          <w:color w:val="auto"/>
          <w:highlight w:val="none"/>
        </w:rPr>
      </w:pPr>
      <w:r>
        <w:rPr>
          <w:rFonts w:hint="eastAsia" w:ascii="Times New Roman" w:hAnsi="Times New Roman" w:eastAsia="仿宋" w:cs="仿宋"/>
          <w:b/>
          <w:caps w:val="0"/>
          <w:smallCaps w:val="0"/>
          <w:color w:val="auto"/>
          <w:sz w:val="24"/>
          <w:szCs w:val="24"/>
          <w:highlight w:val="none"/>
          <w:lang w:val="en-US" w:eastAsia="zh-CN"/>
        </w:rPr>
        <w:br w:type="page"/>
      </w:r>
      <w:bookmarkStart w:id="151" w:name="_Toc32535"/>
      <w:r>
        <w:rPr>
          <w:rFonts w:hint="eastAsia" w:ascii="Times New Roman" w:hAnsi="Times New Roman" w:eastAsia="仿宋" w:cs="仿宋"/>
          <w:b/>
          <w:caps w:val="0"/>
          <w:smallCaps w:val="0"/>
          <w:color w:val="auto"/>
          <w:sz w:val="24"/>
          <w:szCs w:val="24"/>
          <w:highlight w:val="none"/>
          <w:lang w:val="en-US" w:eastAsia="zh-CN"/>
        </w:rPr>
        <w:t>表</w:t>
      </w:r>
      <w:r>
        <w:rPr>
          <w:rFonts w:hint="eastAsia" w:eastAsia="仿宋" w:cs="仿宋"/>
          <w:b/>
          <w:caps w:val="0"/>
          <w:smallCaps w:val="0"/>
          <w:color w:val="auto"/>
          <w:sz w:val="24"/>
          <w:szCs w:val="24"/>
          <w:highlight w:val="none"/>
          <w:lang w:val="en-US" w:eastAsia="zh-CN"/>
        </w:rPr>
        <w:t>2-29</w:t>
      </w:r>
      <w:r>
        <w:rPr>
          <w:rFonts w:hint="eastAsia" w:ascii="Times New Roman" w:hAnsi="Times New Roman" w:eastAsia="仿宋" w:cs="仿宋"/>
          <w:b/>
          <w:caps w:val="0"/>
          <w:smallCaps w:val="0"/>
          <w:color w:val="auto"/>
          <w:sz w:val="24"/>
          <w:szCs w:val="24"/>
          <w:highlight w:val="none"/>
          <w:lang w:val="en-US" w:eastAsia="zh-CN"/>
        </w:rPr>
        <w:t>公用设施用地土地剩余使用年期修正系数表</w:t>
      </w:r>
      <w:bookmarkEnd w:id="151"/>
    </w:p>
    <w:tbl>
      <w:tblPr>
        <w:tblStyle w:val="14"/>
        <w:tblW w:w="5149" w:type="pct"/>
        <w:tblInd w:w="-2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4"/>
        <w:gridCol w:w="866"/>
        <w:gridCol w:w="881"/>
        <w:gridCol w:w="958"/>
        <w:gridCol w:w="958"/>
        <w:gridCol w:w="958"/>
        <w:gridCol w:w="958"/>
        <w:gridCol w:w="958"/>
        <w:gridCol w:w="958"/>
      </w:tblGrid>
      <w:tr w14:paraId="21DE1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B88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6B5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771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699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556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566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68C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6</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66F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7</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CE6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8</w:t>
            </w:r>
          </w:p>
        </w:tc>
      </w:tr>
      <w:tr w14:paraId="061AE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A43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D82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0.0458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5D5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0.0897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8EB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0.1319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DEA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0.1725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99E7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0.2114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A54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0.2488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9DF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0.2847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632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0.3191 </w:t>
            </w:r>
          </w:p>
        </w:tc>
      </w:tr>
      <w:tr w14:paraId="6EB94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27C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144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9</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6E6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862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11</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534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12</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3BC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13</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785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14</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DE1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379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16</w:t>
            </w:r>
          </w:p>
        </w:tc>
      </w:tr>
      <w:tr w14:paraId="7F8F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A50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BFE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0.3522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79A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0.3840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975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0.4145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DEB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0.4438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46D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0.4719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8A2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0.4989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24E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0.5249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936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0.5498 </w:t>
            </w:r>
          </w:p>
        </w:tc>
      </w:tr>
      <w:tr w14:paraId="7ED8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F44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1B2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17</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ED0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18</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CC4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19</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A01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59E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21</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B91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22</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33D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23</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056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24</w:t>
            </w:r>
          </w:p>
        </w:tc>
      </w:tr>
      <w:tr w14:paraId="35D8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9B0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D69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0.5737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D1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0.5967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2C6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0.6187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59E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0.6399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8E2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0.6603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95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0.6798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96D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0.6985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B91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0.7165 </w:t>
            </w:r>
          </w:p>
        </w:tc>
      </w:tr>
      <w:tr w14:paraId="35AE4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1DA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D9D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25</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16A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26</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FA9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27</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EBC8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28</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4B6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29</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BD3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ED6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31</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69D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32</w:t>
            </w:r>
          </w:p>
        </w:tc>
      </w:tr>
      <w:tr w14:paraId="39EEC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E89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0A9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0.7338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41D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0.7504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F20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0.7664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497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0.7817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E26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0.7964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3C4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0.8105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B4D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0.8241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6B4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0.8371 </w:t>
            </w:r>
          </w:p>
        </w:tc>
      </w:tr>
      <w:tr w14:paraId="6701F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5BF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9C6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33</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72B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34</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46E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D10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36</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BCA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37</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FBA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38</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AC4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39</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A18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40</w:t>
            </w:r>
          </w:p>
        </w:tc>
      </w:tr>
      <w:tr w14:paraId="4D73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749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CE5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0.8496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80F9">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0.8616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589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0.8731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4AB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0.8842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E1F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0.8948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A8F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0.9050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A61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0.9148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CBB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0.9242 </w:t>
            </w:r>
          </w:p>
        </w:tc>
      </w:tr>
      <w:tr w14:paraId="7EE9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736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F10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41</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AE3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42</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4B6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43</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F85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44</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2AF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77F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46</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A466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47</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391C">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48</w:t>
            </w:r>
          </w:p>
        </w:tc>
      </w:tr>
      <w:tr w14:paraId="6B3FB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A60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E8E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0.9332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FF6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0.9419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D65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0.9503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F92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0.9583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ADD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0.9659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3BD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0.9733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D6F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0.9804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FB0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0.9872 </w:t>
            </w:r>
          </w:p>
        </w:tc>
      </w:tr>
      <w:tr w14:paraId="553D8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50F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剩余使用年限</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AE9E">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49</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4AE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50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AE82">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E1FA">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3ECB">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9A1F">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E803">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C17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r w14:paraId="3D37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F9D7">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修正系数</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AF21">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0.9937 </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EE96">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r>
              <w:rPr>
                <w:rFonts w:hint="eastAsia" w:ascii="Times New Roman" w:hAnsi="Times New Roman" w:eastAsia="仿宋" w:cs="仿宋"/>
                <w:b w:val="0"/>
                <w:bCs w:val="0"/>
                <w:caps w:val="0"/>
                <w:smallCaps w:val="0"/>
                <w:color w:val="auto"/>
                <w:sz w:val="21"/>
                <w:szCs w:val="21"/>
                <w:highlight w:val="none"/>
                <w:lang w:val="en-US" w:eastAsia="zh-CN"/>
              </w:rPr>
              <w:t xml:space="preserve">1.0000 </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B79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1C2D">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B328">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8204">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7365">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E9B0">
            <w:pPr>
              <w:keepNext w:val="0"/>
              <w:keepLines w:val="0"/>
              <w:pageBreakBefore w:val="0"/>
              <w:kinsoku/>
              <w:wordWrap/>
              <w:overflowPunct/>
              <w:topLinePunct w:val="0"/>
              <w:autoSpaceDE/>
              <w:autoSpaceDN/>
              <w:bidi w:val="0"/>
              <w:adjustRightInd/>
              <w:snapToGrid/>
              <w:spacing w:line="240" w:lineRule="auto"/>
              <w:ind w:right="0" w:rightChars="0" w:firstLine="0" w:firstLineChars="0"/>
              <w:jc w:val="center"/>
              <w:outlineLvl w:val="9"/>
              <w:rPr>
                <w:rFonts w:hint="eastAsia" w:ascii="Times New Roman" w:hAnsi="Times New Roman" w:eastAsia="仿宋" w:cs="仿宋"/>
                <w:b w:val="0"/>
                <w:bCs w:val="0"/>
                <w:caps w:val="0"/>
                <w:smallCaps w:val="0"/>
                <w:color w:val="auto"/>
                <w:sz w:val="21"/>
                <w:szCs w:val="21"/>
                <w:highlight w:val="none"/>
                <w:lang w:val="en-US" w:eastAsia="zh-CN"/>
              </w:rPr>
            </w:pPr>
          </w:p>
        </w:tc>
      </w:tr>
    </w:tbl>
    <w:p w14:paraId="653AAC1E">
      <w:pPr>
        <w:keepNext w:val="0"/>
        <w:keepLines w:val="0"/>
        <w:pageBreakBefore w:val="0"/>
        <w:widowControl/>
        <w:kinsoku/>
        <w:wordWrap/>
        <w:overflowPunct/>
        <w:topLinePunct w:val="0"/>
        <w:autoSpaceDE/>
        <w:autoSpaceDN/>
        <w:bidi w:val="0"/>
        <w:adjustRightInd w:val="0"/>
        <w:snapToGrid/>
        <w:spacing w:line="240" w:lineRule="auto"/>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3、期日修正</w:t>
      </w:r>
    </w:p>
    <w:p w14:paraId="429C5421">
      <w:pPr>
        <w:spacing w:line="360" w:lineRule="auto"/>
        <w:ind w:firstLine="2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基准地价对应的是基准地价评估期日的地价，评估时间不同，土地市场地价水平也不同，因此必须进行期日修正，把基准地价对应的地价水平修正到宗地地价评估期日。各类用地期日修正系数可按下式计算：</w:t>
      </w:r>
    </w:p>
    <w:p w14:paraId="09B3E500">
      <w:pPr>
        <w:spacing w:line="360" w:lineRule="auto"/>
        <w:ind w:firstLine="985" w:firstLineChars="352"/>
        <w:rPr>
          <w:rFonts w:hint="eastAsia" w:ascii="仿宋" w:hAnsi="仿宋" w:eastAsia="仿宋" w:cs="仿宋"/>
          <w:sz w:val="24"/>
        </w:rPr>
      </w:pPr>
      <w:r>
        <w:rPr>
          <w:rFonts w:hint="eastAsia" w:ascii="仿宋" w:hAnsi="仿宋" w:eastAsia="仿宋" w:cs="仿宋"/>
          <w:sz w:val="28"/>
          <w:szCs w:val="28"/>
        </w:rPr>
        <w:t>K=</w:t>
      </w:r>
      <w:r>
        <w:rPr>
          <w:rFonts w:hint="eastAsia" w:ascii="仿宋" w:hAnsi="仿宋" w:eastAsia="仿宋" w:cs="仿宋"/>
          <w:position w:val="-26"/>
          <w:sz w:val="24"/>
        </w:rPr>
        <w:object>
          <v:shape id="_x0000_i1025" o:spt="75" type="#_x0000_t75" style="height:32.95pt;width:173pt;" o:ole="t" filled="f" o:preferrelative="t" stroked="f" coordsize="21600,21600">
            <v:path/>
            <v:fill on="f" focussize="0,0"/>
            <v:stroke on="f"/>
            <v:imagedata r:id="rId24" o:title=""/>
            <o:lock v:ext="edit" aspectratio="t"/>
            <w10:wrap type="none"/>
            <w10:anchorlock/>
          </v:shape>
          <o:OLEObject Type="Embed" ProgID="Equation.3" ShapeID="_x0000_i1025" DrawAspect="Content" ObjectID="_1468075725" r:id="rId23">
            <o:LockedField>false</o:LockedField>
          </o:OLEObject>
        </w:object>
      </w:r>
    </w:p>
    <w:p w14:paraId="5F173962">
      <w:pPr>
        <w:spacing w:line="360" w:lineRule="auto"/>
        <w:ind w:firstLine="301" w:firstLineChars="100"/>
        <w:outlineLvl w:val="1"/>
        <w:rPr>
          <w:rFonts w:hint="eastAsia" w:ascii="仿宋" w:hAnsi="仿宋" w:eastAsia="仿宋" w:cs="仿宋"/>
          <w:b/>
          <w:bCs w:val="0"/>
          <w:sz w:val="30"/>
          <w:szCs w:val="30"/>
          <w:lang w:val="en-US" w:eastAsia="zh-CN" w:bidi="ar-SA"/>
        </w:rPr>
      </w:pPr>
      <w:bookmarkStart w:id="152" w:name="_Toc31299"/>
      <w:r>
        <w:rPr>
          <w:rFonts w:hint="eastAsia" w:ascii="仿宋" w:hAnsi="仿宋" w:eastAsia="仿宋" w:cs="仿宋"/>
          <w:b/>
          <w:bCs w:val="0"/>
          <w:sz w:val="30"/>
          <w:szCs w:val="30"/>
          <w:lang w:val="en-US" w:eastAsia="zh-CN" w:bidi="ar-SA"/>
        </w:rPr>
        <w:t>（三）宗地基础设施配套程度修正</w:t>
      </w:r>
      <w:bookmarkEnd w:id="152"/>
    </w:p>
    <w:p w14:paraId="0613EC89">
      <w:pPr>
        <w:bidi w:val="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b w:val="0"/>
          <w:bCs w:val="0"/>
          <w:kern w:val="2"/>
          <w:sz w:val="28"/>
          <w:szCs w:val="28"/>
          <w:lang w:val="en-US" w:eastAsia="zh-CN" w:bidi="ar-SA"/>
        </w:rPr>
        <w:t>巴彦套海镇基准地价更新设定的商业服务业、居住用地、公共管理与公共服务用地土地开发程度均为 “六通一平”，工矿用地、公用设施用地土地开发程度均为 “五通一平”。若待估宗地基础设施配套程度没有达到或超过设定的开发程度，则利用基准地价来评估宗地地价时，需要在上述各项修正的基础上减去或加上相应的配套费用，将地价修正到实际开发程度下，各类用地开发费用。</w:t>
      </w:r>
    </w:p>
    <w:p w14:paraId="284CE68F">
      <w:pPr>
        <w:adjustRightInd w:val="0"/>
        <w:snapToGrid w:val="0"/>
        <w:spacing w:line="240" w:lineRule="auto"/>
        <w:ind w:firstLine="0" w:firstLineChars="0"/>
        <w:jc w:val="center"/>
        <w:rPr>
          <w:rFonts w:hint="eastAsia" w:ascii="仿宋" w:hAnsi="仿宋" w:eastAsia="仿宋" w:cs="仿宋"/>
          <w:b/>
          <w:sz w:val="24"/>
          <w:szCs w:val="24"/>
        </w:rPr>
      </w:pPr>
      <w:bookmarkStart w:id="153" w:name="_Toc19732"/>
      <w:bookmarkStart w:id="154" w:name="_Toc1524"/>
      <w:bookmarkStart w:id="155" w:name="_Toc312920505"/>
      <w:r>
        <w:rPr>
          <w:rFonts w:hint="eastAsia" w:ascii="仿宋" w:hAnsi="仿宋" w:eastAsia="仿宋" w:cs="仿宋"/>
          <w:b/>
          <w:sz w:val="24"/>
          <w:szCs w:val="24"/>
        </w:rPr>
        <w:t>表</w:t>
      </w:r>
      <w:r>
        <w:rPr>
          <w:rFonts w:hint="eastAsia" w:ascii="仿宋" w:hAnsi="仿宋" w:eastAsia="仿宋" w:cs="仿宋"/>
          <w:b/>
          <w:sz w:val="24"/>
          <w:szCs w:val="24"/>
          <w:lang w:val="en-US" w:eastAsia="zh-CN"/>
        </w:rPr>
        <w:t>2</w:t>
      </w:r>
      <w:r>
        <w:rPr>
          <w:rFonts w:hint="eastAsia" w:ascii="仿宋" w:hAnsi="仿宋" w:eastAsia="仿宋" w:cs="仿宋"/>
          <w:b/>
          <w:sz w:val="24"/>
          <w:szCs w:val="24"/>
        </w:rPr>
        <w:t>-</w:t>
      </w:r>
      <w:r>
        <w:rPr>
          <w:rFonts w:hint="eastAsia" w:ascii="仿宋" w:hAnsi="仿宋" w:eastAsia="仿宋" w:cs="仿宋"/>
          <w:b/>
          <w:sz w:val="24"/>
          <w:szCs w:val="24"/>
          <w:lang w:val="en-US" w:eastAsia="zh-CN"/>
        </w:rPr>
        <w:t xml:space="preserve">30 </w:t>
      </w:r>
      <w:r>
        <w:rPr>
          <w:rFonts w:hint="eastAsia" w:ascii="仿宋" w:hAnsi="仿宋" w:eastAsia="仿宋" w:cs="仿宋"/>
          <w:b/>
          <w:sz w:val="24"/>
          <w:szCs w:val="24"/>
        </w:rPr>
        <w:t xml:space="preserve"> </w:t>
      </w:r>
      <w:r>
        <w:rPr>
          <w:rFonts w:hint="eastAsia" w:ascii="仿宋" w:hAnsi="仿宋" w:eastAsia="仿宋" w:cs="仿宋"/>
          <w:b/>
          <w:sz w:val="24"/>
          <w:szCs w:val="24"/>
          <w:lang w:eastAsia="zh-CN"/>
        </w:rPr>
        <w:t>巴彦套海镇</w:t>
      </w:r>
      <w:r>
        <w:rPr>
          <w:rFonts w:hint="eastAsia" w:ascii="仿宋" w:hAnsi="仿宋" w:eastAsia="仿宋" w:cs="仿宋"/>
          <w:b/>
          <w:sz w:val="24"/>
          <w:szCs w:val="24"/>
        </w:rPr>
        <w:t xml:space="preserve">土地开发费用表 </w:t>
      </w:r>
    </w:p>
    <w:p w14:paraId="3C30AE9E">
      <w:pPr>
        <w:adjustRightInd w:val="0"/>
        <w:snapToGrid w:val="0"/>
        <w:spacing w:line="240" w:lineRule="auto"/>
        <w:ind w:firstLine="0" w:firstLineChars="0"/>
        <w:jc w:val="right"/>
        <w:rPr>
          <w:rFonts w:hint="eastAsia" w:ascii="仿宋" w:hAnsi="仿宋" w:eastAsia="仿宋" w:cs="仿宋"/>
          <w:b/>
          <w:bCs/>
          <w:sz w:val="21"/>
          <w:szCs w:val="21"/>
        </w:rPr>
      </w:pPr>
      <w:r>
        <w:rPr>
          <w:rFonts w:hint="eastAsia" w:ascii="仿宋" w:hAnsi="仿宋" w:eastAsia="仿宋" w:cs="仿宋"/>
          <w:b/>
          <w:sz w:val="24"/>
          <w:szCs w:val="24"/>
          <w:lang w:eastAsia="zh-CN"/>
        </w:rPr>
        <w:t>　　</w:t>
      </w:r>
      <w:r>
        <w:rPr>
          <w:rFonts w:hint="eastAsia" w:ascii="仿宋" w:hAnsi="仿宋" w:eastAsia="仿宋" w:cs="仿宋"/>
          <w:b/>
          <w:sz w:val="24"/>
          <w:szCs w:val="24"/>
        </w:rPr>
        <w:t xml:space="preserve">                                                  </w:t>
      </w:r>
      <w:r>
        <w:rPr>
          <w:rFonts w:hint="eastAsia" w:ascii="仿宋" w:hAnsi="仿宋" w:eastAsia="仿宋" w:cs="仿宋"/>
          <w:b/>
          <w:bCs/>
          <w:sz w:val="21"/>
          <w:szCs w:val="21"/>
        </w:rPr>
        <w:t>单位：元/平方米</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969"/>
        <w:gridCol w:w="969"/>
        <w:gridCol w:w="969"/>
        <w:gridCol w:w="969"/>
        <w:gridCol w:w="969"/>
        <w:gridCol w:w="969"/>
        <w:gridCol w:w="969"/>
        <w:gridCol w:w="969"/>
      </w:tblGrid>
      <w:tr w14:paraId="2651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46" w:type="dxa"/>
            <w:noWrap w:val="0"/>
            <w:vAlign w:val="center"/>
          </w:tcPr>
          <w:p w14:paraId="38753D6B">
            <w:pPr>
              <w:spacing w:line="240" w:lineRule="auto"/>
              <w:ind w:firstLine="0" w:firstLineChars="0"/>
              <w:jc w:val="center"/>
              <w:textAlignment w:val="center"/>
              <w:rPr>
                <w:rFonts w:hint="eastAsia" w:ascii="仿宋" w:hAnsi="仿宋" w:eastAsia="仿宋" w:cs="仿宋"/>
                <w:b w:val="0"/>
                <w:bCs w:val="0"/>
                <w:sz w:val="21"/>
                <w:szCs w:val="21"/>
                <w:highlight w:val="none"/>
              </w:rPr>
            </w:pPr>
            <w:r>
              <w:rPr>
                <w:rFonts w:hint="eastAsia" w:ascii="仿宋" w:hAnsi="仿宋" w:eastAsia="仿宋" w:cs="仿宋"/>
                <w:b w:val="0"/>
                <w:bCs w:val="0"/>
                <w:sz w:val="21"/>
                <w:szCs w:val="21"/>
                <w:highlight w:val="none"/>
              </w:rPr>
              <w:t>基础设</w:t>
            </w:r>
          </w:p>
          <w:p w14:paraId="27CF9FAB">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施状况</w:t>
            </w:r>
          </w:p>
        </w:tc>
        <w:tc>
          <w:tcPr>
            <w:tcW w:w="947" w:type="dxa"/>
            <w:noWrap w:val="0"/>
            <w:vAlign w:val="center"/>
          </w:tcPr>
          <w:p w14:paraId="097D1F7E">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通路</w:t>
            </w:r>
          </w:p>
        </w:tc>
        <w:tc>
          <w:tcPr>
            <w:tcW w:w="947" w:type="dxa"/>
            <w:noWrap w:val="0"/>
            <w:vAlign w:val="center"/>
          </w:tcPr>
          <w:p w14:paraId="165052B7">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通电</w:t>
            </w:r>
          </w:p>
        </w:tc>
        <w:tc>
          <w:tcPr>
            <w:tcW w:w="947" w:type="dxa"/>
            <w:noWrap w:val="0"/>
            <w:vAlign w:val="center"/>
          </w:tcPr>
          <w:p w14:paraId="3853D7C1">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通讯</w:t>
            </w:r>
          </w:p>
        </w:tc>
        <w:tc>
          <w:tcPr>
            <w:tcW w:w="947" w:type="dxa"/>
            <w:noWrap w:val="0"/>
            <w:vAlign w:val="center"/>
          </w:tcPr>
          <w:p w14:paraId="326CFDBA">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通上水</w:t>
            </w:r>
          </w:p>
        </w:tc>
        <w:tc>
          <w:tcPr>
            <w:tcW w:w="947" w:type="dxa"/>
            <w:noWrap w:val="0"/>
            <w:vAlign w:val="center"/>
          </w:tcPr>
          <w:p w14:paraId="1B2CC661">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通下水</w:t>
            </w:r>
          </w:p>
        </w:tc>
        <w:tc>
          <w:tcPr>
            <w:tcW w:w="947" w:type="dxa"/>
            <w:noWrap w:val="0"/>
            <w:vAlign w:val="center"/>
          </w:tcPr>
          <w:p w14:paraId="638199F6">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通暖</w:t>
            </w:r>
          </w:p>
        </w:tc>
        <w:tc>
          <w:tcPr>
            <w:tcW w:w="947" w:type="dxa"/>
            <w:noWrap w:val="0"/>
            <w:vAlign w:val="center"/>
          </w:tcPr>
          <w:p w14:paraId="68980DE4">
            <w:pPr>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通</w:t>
            </w:r>
            <w:r>
              <w:rPr>
                <w:rFonts w:hint="eastAsia" w:ascii="仿宋" w:hAnsi="仿宋" w:eastAsia="仿宋" w:cs="仿宋"/>
                <w:b w:val="0"/>
                <w:bCs w:val="0"/>
                <w:sz w:val="21"/>
                <w:szCs w:val="21"/>
                <w:highlight w:val="none"/>
                <w:lang w:val="en-US" w:eastAsia="zh-CN"/>
              </w:rPr>
              <w:t>燃</w:t>
            </w:r>
            <w:r>
              <w:rPr>
                <w:rFonts w:hint="eastAsia" w:ascii="仿宋" w:hAnsi="仿宋" w:eastAsia="仿宋" w:cs="仿宋"/>
                <w:b w:val="0"/>
                <w:bCs w:val="0"/>
                <w:sz w:val="21"/>
                <w:szCs w:val="21"/>
                <w:highlight w:val="none"/>
              </w:rPr>
              <w:t>气</w:t>
            </w:r>
          </w:p>
        </w:tc>
        <w:tc>
          <w:tcPr>
            <w:tcW w:w="947" w:type="dxa"/>
            <w:noWrap w:val="0"/>
            <w:vAlign w:val="center"/>
          </w:tcPr>
          <w:p w14:paraId="1E6FF13A">
            <w:pPr>
              <w:pStyle w:val="5"/>
              <w:spacing w:line="240" w:lineRule="auto"/>
              <w:ind w:firstLine="0" w:firstLineChars="0"/>
              <w:jc w:val="center"/>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场地</w:t>
            </w:r>
          </w:p>
          <w:p w14:paraId="0FC03C24">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b w:val="0"/>
                <w:bCs w:val="0"/>
                <w:color w:val="auto"/>
                <w:kern w:val="0"/>
                <w:sz w:val="21"/>
                <w:szCs w:val="21"/>
                <w:highlight w:val="none"/>
                <w:lang w:val="en-US" w:eastAsia="zh-CN" w:bidi="ar-SA"/>
              </w:rPr>
              <w:t>平整</w:t>
            </w:r>
          </w:p>
        </w:tc>
      </w:tr>
      <w:tr w14:paraId="4431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46" w:type="dxa"/>
            <w:noWrap w:val="0"/>
            <w:vAlign w:val="center"/>
          </w:tcPr>
          <w:p w14:paraId="58B42E36">
            <w:pPr>
              <w:adjustRightInd w:val="0"/>
              <w:snapToGrid w:val="0"/>
              <w:spacing w:line="240" w:lineRule="auto"/>
              <w:ind w:right="0" w:rightChars="0" w:firstLine="0" w:firstLineChars="0"/>
              <w:jc w:val="center"/>
              <w:textAlignment w:val="center"/>
              <w:rPr>
                <w:rFonts w:hint="eastAsia" w:ascii="仿宋" w:hAnsi="仿宋" w:eastAsia="仿宋" w:cs="仿宋"/>
                <w:sz w:val="21"/>
                <w:szCs w:val="21"/>
                <w:highlight w:val="none"/>
              </w:rPr>
            </w:pPr>
            <w:r>
              <w:rPr>
                <w:rFonts w:hint="eastAsia" w:ascii="仿宋" w:hAnsi="仿宋" w:eastAsia="仿宋" w:cs="仿宋"/>
                <w:b w:val="0"/>
                <w:bCs w:val="0"/>
                <w:sz w:val="21"/>
                <w:szCs w:val="21"/>
                <w:highlight w:val="none"/>
              </w:rPr>
              <w:t>费用</w:t>
            </w:r>
          </w:p>
        </w:tc>
        <w:tc>
          <w:tcPr>
            <w:tcW w:w="947" w:type="dxa"/>
            <w:noWrap w:val="0"/>
            <w:vAlign w:val="center"/>
          </w:tcPr>
          <w:p w14:paraId="44DAE821">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eastAsia="仿宋" w:cs="Times New Roman"/>
                <w:b w:val="0"/>
                <w:bCs w:val="0"/>
                <w:color w:val="auto"/>
                <w:kern w:val="0"/>
                <w:sz w:val="21"/>
                <w:szCs w:val="21"/>
                <w:highlight w:val="none"/>
                <w:lang w:val="en-US" w:eastAsia="zh-CN" w:bidi="ar-SA"/>
              </w:rPr>
              <w:t>5-1</w:t>
            </w:r>
            <w:r>
              <w:rPr>
                <w:rFonts w:hint="default" w:ascii="Times New Roman" w:hAnsi="Times New Roman" w:cs="Times New Roman"/>
                <w:b w:val="0"/>
                <w:bCs w:val="0"/>
                <w:color w:val="auto"/>
                <w:kern w:val="0"/>
                <w:sz w:val="21"/>
                <w:szCs w:val="21"/>
                <w:highlight w:val="none"/>
                <w:lang w:val="en-US" w:eastAsia="zh-CN" w:bidi="ar-SA"/>
              </w:rPr>
              <w:t>5</w:t>
            </w:r>
          </w:p>
        </w:tc>
        <w:tc>
          <w:tcPr>
            <w:tcW w:w="947" w:type="dxa"/>
            <w:noWrap w:val="0"/>
            <w:vAlign w:val="center"/>
          </w:tcPr>
          <w:p w14:paraId="3131647E">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cs="Times New Roman"/>
                <w:b w:val="0"/>
                <w:bCs w:val="0"/>
                <w:color w:val="auto"/>
                <w:kern w:val="0"/>
                <w:sz w:val="21"/>
                <w:szCs w:val="21"/>
                <w:highlight w:val="none"/>
                <w:lang w:val="en-US" w:eastAsia="zh-CN" w:bidi="ar-SA"/>
              </w:rPr>
              <w:t>3</w:t>
            </w:r>
            <w:r>
              <w:rPr>
                <w:rFonts w:hint="default" w:ascii="Times New Roman" w:hAnsi="Times New Roman" w:eastAsia="仿宋" w:cs="Times New Roman"/>
                <w:b w:val="0"/>
                <w:bCs w:val="0"/>
                <w:color w:val="auto"/>
                <w:kern w:val="0"/>
                <w:sz w:val="21"/>
                <w:szCs w:val="21"/>
                <w:highlight w:val="none"/>
                <w:lang w:val="en-US" w:eastAsia="zh-CN" w:bidi="ar-SA"/>
              </w:rPr>
              <w:t>-1</w:t>
            </w:r>
            <w:r>
              <w:rPr>
                <w:rFonts w:hint="default" w:ascii="Times New Roman" w:hAnsi="Times New Roman" w:cs="Times New Roman"/>
                <w:b w:val="0"/>
                <w:bCs w:val="0"/>
                <w:color w:val="auto"/>
                <w:kern w:val="0"/>
                <w:sz w:val="21"/>
                <w:szCs w:val="21"/>
                <w:highlight w:val="none"/>
                <w:lang w:val="en-US" w:eastAsia="zh-CN" w:bidi="ar-SA"/>
              </w:rPr>
              <w:t>5</w:t>
            </w:r>
          </w:p>
        </w:tc>
        <w:tc>
          <w:tcPr>
            <w:tcW w:w="947" w:type="dxa"/>
            <w:noWrap w:val="0"/>
            <w:vAlign w:val="center"/>
          </w:tcPr>
          <w:p w14:paraId="0EADB4A3">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cs="Times New Roman"/>
                <w:b w:val="0"/>
                <w:bCs w:val="0"/>
                <w:color w:val="auto"/>
                <w:kern w:val="0"/>
                <w:sz w:val="21"/>
                <w:szCs w:val="21"/>
                <w:highlight w:val="none"/>
                <w:lang w:val="en-US" w:eastAsia="zh-CN" w:bidi="ar-SA"/>
              </w:rPr>
              <w:t>5</w:t>
            </w:r>
            <w:r>
              <w:rPr>
                <w:rFonts w:hint="default" w:ascii="Times New Roman" w:hAnsi="Times New Roman" w:eastAsia="仿宋" w:cs="Times New Roman"/>
                <w:b w:val="0"/>
                <w:bCs w:val="0"/>
                <w:color w:val="auto"/>
                <w:kern w:val="0"/>
                <w:sz w:val="21"/>
                <w:szCs w:val="21"/>
                <w:highlight w:val="none"/>
                <w:lang w:val="en-US" w:eastAsia="zh-CN" w:bidi="ar-SA"/>
              </w:rPr>
              <w:t>-1</w:t>
            </w:r>
            <w:r>
              <w:rPr>
                <w:rFonts w:hint="default" w:ascii="Times New Roman" w:hAnsi="Times New Roman" w:cs="Times New Roman"/>
                <w:b w:val="0"/>
                <w:bCs w:val="0"/>
                <w:color w:val="auto"/>
                <w:kern w:val="0"/>
                <w:sz w:val="21"/>
                <w:szCs w:val="21"/>
                <w:highlight w:val="none"/>
                <w:lang w:val="en-US" w:eastAsia="zh-CN" w:bidi="ar-SA"/>
              </w:rPr>
              <w:t>5</w:t>
            </w:r>
          </w:p>
        </w:tc>
        <w:tc>
          <w:tcPr>
            <w:tcW w:w="947" w:type="dxa"/>
            <w:noWrap w:val="0"/>
            <w:vAlign w:val="center"/>
          </w:tcPr>
          <w:p w14:paraId="20EB53F0">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eastAsia="仿宋" w:cs="Times New Roman"/>
                <w:b w:val="0"/>
                <w:bCs w:val="0"/>
                <w:color w:val="auto"/>
                <w:kern w:val="0"/>
                <w:sz w:val="21"/>
                <w:szCs w:val="21"/>
                <w:highlight w:val="none"/>
                <w:lang w:val="en-US" w:eastAsia="zh-CN" w:bidi="ar-SA"/>
              </w:rPr>
              <w:t>5-</w:t>
            </w:r>
            <w:r>
              <w:rPr>
                <w:rFonts w:hint="default" w:ascii="Times New Roman" w:hAnsi="Times New Roman" w:cs="Times New Roman"/>
                <w:b w:val="0"/>
                <w:bCs w:val="0"/>
                <w:color w:val="auto"/>
                <w:kern w:val="0"/>
                <w:sz w:val="21"/>
                <w:szCs w:val="21"/>
                <w:highlight w:val="none"/>
                <w:lang w:val="en-US" w:eastAsia="zh-CN" w:bidi="ar-SA"/>
              </w:rPr>
              <w:t>20</w:t>
            </w:r>
          </w:p>
        </w:tc>
        <w:tc>
          <w:tcPr>
            <w:tcW w:w="947" w:type="dxa"/>
            <w:noWrap w:val="0"/>
            <w:vAlign w:val="center"/>
          </w:tcPr>
          <w:p w14:paraId="4081D3B1">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eastAsia="仿宋" w:cs="Times New Roman"/>
                <w:b w:val="0"/>
                <w:bCs w:val="0"/>
                <w:color w:val="auto"/>
                <w:kern w:val="0"/>
                <w:sz w:val="21"/>
                <w:szCs w:val="21"/>
                <w:highlight w:val="none"/>
                <w:lang w:val="en-US" w:eastAsia="zh-CN" w:bidi="ar-SA"/>
              </w:rPr>
              <w:t>5-</w:t>
            </w:r>
            <w:r>
              <w:rPr>
                <w:rFonts w:hint="default" w:ascii="Times New Roman" w:hAnsi="Times New Roman" w:cs="Times New Roman"/>
                <w:b w:val="0"/>
                <w:bCs w:val="0"/>
                <w:color w:val="auto"/>
                <w:kern w:val="0"/>
                <w:sz w:val="21"/>
                <w:szCs w:val="21"/>
                <w:highlight w:val="none"/>
                <w:lang w:val="en-US" w:eastAsia="zh-CN" w:bidi="ar-SA"/>
              </w:rPr>
              <w:t>20</w:t>
            </w:r>
          </w:p>
        </w:tc>
        <w:tc>
          <w:tcPr>
            <w:tcW w:w="947" w:type="dxa"/>
            <w:noWrap w:val="0"/>
            <w:vAlign w:val="center"/>
          </w:tcPr>
          <w:p w14:paraId="7F6D349E">
            <w:pPr>
              <w:pStyle w:val="5"/>
              <w:spacing w:line="240" w:lineRule="auto"/>
              <w:ind w:right="0" w:rightChars="0" w:firstLine="0" w:firstLineChars="0"/>
              <w:jc w:val="center"/>
              <w:rPr>
                <w:rFonts w:hint="default" w:ascii="仿宋" w:hAnsi="仿宋" w:eastAsia="仿宋" w:cs="仿宋"/>
                <w:color w:val="auto"/>
                <w:kern w:val="0"/>
                <w:sz w:val="21"/>
                <w:szCs w:val="21"/>
                <w:highlight w:val="none"/>
                <w:lang w:val="en-US" w:eastAsia="zh-CN" w:bidi="ar-SA"/>
              </w:rPr>
            </w:pPr>
            <w:r>
              <w:rPr>
                <w:rFonts w:hint="default" w:ascii="Times New Roman" w:hAnsi="Times New Roman" w:cs="Times New Roman"/>
                <w:b w:val="0"/>
                <w:bCs w:val="0"/>
                <w:color w:val="auto"/>
                <w:kern w:val="0"/>
                <w:sz w:val="21"/>
                <w:szCs w:val="21"/>
                <w:highlight w:val="none"/>
                <w:lang w:val="en-US" w:eastAsia="zh-CN" w:bidi="ar-SA"/>
              </w:rPr>
              <w:t>6</w:t>
            </w:r>
            <w:r>
              <w:rPr>
                <w:rFonts w:hint="default" w:ascii="Times New Roman" w:hAnsi="Times New Roman" w:eastAsia="仿宋" w:cs="Times New Roman"/>
                <w:b w:val="0"/>
                <w:bCs w:val="0"/>
                <w:color w:val="auto"/>
                <w:kern w:val="0"/>
                <w:sz w:val="21"/>
                <w:szCs w:val="21"/>
                <w:highlight w:val="none"/>
                <w:lang w:val="en-US" w:eastAsia="zh-CN" w:bidi="ar-SA"/>
              </w:rPr>
              <w:t>-</w:t>
            </w:r>
            <w:r>
              <w:rPr>
                <w:rFonts w:hint="default" w:ascii="Times New Roman" w:hAnsi="Times New Roman" w:cs="Times New Roman"/>
                <w:b w:val="0"/>
                <w:bCs w:val="0"/>
                <w:color w:val="auto"/>
                <w:kern w:val="0"/>
                <w:sz w:val="21"/>
                <w:szCs w:val="21"/>
                <w:highlight w:val="none"/>
                <w:lang w:val="en-US" w:eastAsia="zh-CN" w:bidi="ar-SA"/>
              </w:rPr>
              <w:t>20</w:t>
            </w:r>
          </w:p>
        </w:tc>
        <w:tc>
          <w:tcPr>
            <w:tcW w:w="947" w:type="dxa"/>
            <w:noWrap w:val="0"/>
            <w:vAlign w:val="center"/>
          </w:tcPr>
          <w:p w14:paraId="1543B905">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cs="Times New Roman"/>
                <w:b w:val="0"/>
                <w:bCs w:val="0"/>
                <w:color w:val="auto"/>
                <w:kern w:val="0"/>
                <w:sz w:val="21"/>
                <w:szCs w:val="21"/>
                <w:highlight w:val="none"/>
                <w:lang w:val="en-US" w:eastAsia="zh-CN" w:bidi="ar-SA"/>
              </w:rPr>
              <w:t>5</w:t>
            </w:r>
            <w:r>
              <w:rPr>
                <w:rFonts w:hint="default" w:ascii="Times New Roman" w:hAnsi="Times New Roman" w:eastAsia="仿宋" w:cs="Times New Roman"/>
                <w:b w:val="0"/>
                <w:bCs w:val="0"/>
                <w:color w:val="auto"/>
                <w:kern w:val="0"/>
                <w:sz w:val="21"/>
                <w:szCs w:val="21"/>
                <w:highlight w:val="none"/>
                <w:lang w:val="en-US" w:eastAsia="zh-CN" w:bidi="ar-SA"/>
              </w:rPr>
              <w:t>-</w:t>
            </w:r>
            <w:r>
              <w:rPr>
                <w:rFonts w:hint="default" w:ascii="Times New Roman" w:hAnsi="Times New Roman" w:cs="Times New Roman"/>
                <w:b w:val="0"/>
                <w:bCs w:val="0"/>
                <w:color w:val="auto"/>
                <w:kern w:val="0"/>
                <w:sz w:val="21"/>
                <w:szCs w:val="21"/>
                <w:highlight w:val="none"/>
                <w:lang w:val="en-US" w:eastAsia="zh-CN" w:bidi="ar-SA"/>
              </w:rPr>
              <w:t>20</w:t>
            </w:r>
          </w:p>
        </w:tc>
        <w:tc>
          <w:tcPr>
            <w:tcW w:w="947" w:type="dxa"/>
            <w:noWrap w:val="0"/>
            <w:vAlign w:val="center"/>
          </w:tcPr>
          <w:p w14:paraId="1D0C4E04">
            <w:pPr>
              <w:pStyle w:val="5"/>
              <w:spacing w:line="240" w:lineRule="auto"/>
              <w:ind w:right="0" w:rightChars="0" w:firstLine="0" w:firstLineChars="0"/>
              <w:jc w:val="center"/>
              <w:rPr>
                <w:rFonts w:hint="eastAsia" w:ascii="仿宋" w:hAnsi="仿宋" w:eastAsia="仿宋" w:cs="仿宋"/>
                <w:color w:val="auto"/>
                <w:kern w:val="0"/>
                <w:sz w:val="21"/>
                <w:szCs w:val="21"/>
                <w:highlight w:val="none"/>
                <w:lang w:val="en-US" w:eastAsia="zh-CN" w:bidi="ar-SA"/>
              </w:rPr>
            </w:pPr>
            <w:r>
              <w:rPr>
                <w:rFonts w:hint="default" w:ascii="Times New Roman" w:hAnsi="Times New Roman" w:eastAsia="仿宋" w:cs="Times New Roman"/>
                <w:b w:val="0"/>
                <w:bCs w:val="0"/>
                <w:color w:val="auto"/>
                <w:kern w:val="0"/>
                <w:sz w:val="21"/>
                <w:szCs w:val="21"/>
                <w:highlight w:val="none"/>
                <w:lang w:val="en-US" w:eastAsia="zh-CN" w:bidi="ar-SA"/>
              </w:rPr>
              <w:t>3-1</w:t>
            </w:r>
            <w:r>
              <w:rPr>
                <w:rFonts w:hint="default" w:ascii="Times New Roman" w:hAnsi="Times New Roman" w:cs="Times New Roman"/>
                <w:b w:val="0"/>
                <w:bCs w:val="0"/>
                <w:color w:val="auto"/>
                <w:kern w:val="0"/>
                <w:sz w:val="21"/>
                <w:szCs w:val="21"/>
                <w:highlight w:val="none"/>
                <w:lang w:val="en-US" w:eastAsia="zh-CN" w:bidi="ar-SA"/>
              </w:rPr>
              <w:t>5</w:t>
            </w:r>
          </w:p>
        </w:tc>
      </w:tr>
    </w:tbl>
    <w:p w14:paraId="0CC528E4">
      <w:pPr>
        <w:pStyle w:val="2"/>
        <w:spacing w:line="360" w:lineRule="auto"/>
        <w:jc w:val="left"/>
        <w:rPr>
          <w:rFonts w:ascii="黑体" w:eastAsia="黑体"/>
          <w:sz w:val="32"/>
          <w:szCs w:val="32"/>
        </w:rPr>
      </w:pPr>
      <w:r>
        <w:rPr>
          <w:rFonts w:hint="eastAsia" w:ascii="黑体" w:eastAsia="黑体"/>
          <w:sz w:val="32"/>
          <w:szCs w:val="32"/>
          <w:lang w:val="en-US" w:eastAsia="zh-CN"/>
        </w:rPr>
        <w:br w:type="page"/>
      </w:r>
      <w:bookmarkStart w:id="156" w:name="_Toc19922"/>
      <w:r>
        <w:rPr>
          <w:rFonts w:hint="eastAsia" w:ascii="黑体" w:eastAsia="黑体"/>
          <w:sz w:val="32"/>
          <w:szCs w:val="32"/>
          <w:lang w:val="en-US" w:eastAsia="zh-CN"/>
        </w:rPr>
        <w:t>三、巴彦套海镇</w:t>
      </w:r>
      <w:r>
        <w:rPr>
          <w:rFonts w:hint="eastAsia" w:ascii="黑体" w:eastAsia="黑体"/>
          <w:sz w:val="32"/>
          <w:szCs w:val="32"/>
        </w:rPr>
        <w:t>土地定级估价成果应用建议及说明</w:t>
      </w:r>
      <w:bookmarkEnd w:id="153"/>
      <w:bookmarkEnd w:id="154"/>
      <w:bookmarkEnd w:id="155"/>
      <w:bookmarkEnd w:id="156"/>
    </w:p>
    <w:p w14:paraId="327DEA23">
      <w:pPr>
        <w:pStyle w:val="3"/>
        <w:adjustRightInd w:val="0"/>
        <w:snapToGrid w:val="0"/>
        <w:spacing w:before="156" w:beforeLines="50" w:after="0" w:line="360" w:lineRule="auto"/>
        <w:ind w:firstLine="301" w:firstLineChars="100"/>
        <w:jc w:val="both"/>
        <w:outlineLvl w:val="1"/>
        <w:rPr>
          <w:rFonts w:hint="eastAsia" w:ascii="仿宋" w:hAnsi="仿宋" w:eastAsia="仿宋" w:cs="仿宋"/>
          <w:b/>
          <w:bCs/>
          <w:sz w:val="30"/>
          <w:szCs w:val="30"/>
        </w:rPr>
      </w:pPr>
      <w:bookmarkStart w:id="157" w:name="_Toc312920506"/>
      <w:bookmarkStart w:id="158" w:name="_Toc1729"/>
      <w:bookmarkStart w:id="159" w:name="_Toc18542"/>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rPr>
        <w:t>成果的内容及</w:t>
      </w:r>
      <w:bookmarkEnd w:id="157"/>
      <w:r>
        <w:rPr>
          <w:rFonts w:hint="eastAsia" w:ascii="仿宋" w:hAnsi="仿宋" w:eastAsia="仿宋" w:cs="仿宋"/>
          <w:b/>
          <w:bCs/>
          <w:sz w:val="30"/>
          <w:szCs w:val="30"/>
        </w:rPr>
        <w:t>应用建议</w:t>
      </w:r>
      <w:bookmarkEnd w:id="158"/>
      <w:bookmarkEnd w:id="159"/>
    </w:p>
    <w:p w14:paraId="25D53973">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bookmarkStart w:id="160" w:name="_Toc5485"/>
      <w:r>
        <w:rPr>
          <w:rFonts w:hint="default" w:ascii="Times New Roman" w:hAnsi="Times New Roman" w:eastAsia="仿宋" w:cs="Times New Roman"/>
          <w:b w:val="0"/>
          <w:bCs/>
          <w:sz w:val="28"/>
          <w:szCs w:val="28"/>
          <w:lang w:val="en-US" w:eastAsia="zh-CN"/>
        </w:rPr>
        <w:t>1、</w:t>
      </w:r>
      <w:r>
        <w:rPr>
          <w:rFonts w:hint="default" w:ascii="Times New Roman" w:hAnsi="Times New Roman" w:eastAsia="仿宋" w:cs="Times New Roman"/>
          <w:b w:val="0"/>
          <w:bCs/>
          <w:sz w:val="28"/>
          <w:szCs w:val="28"/>
          <w:lang w:eastAsia="zh-CN"/>
        </w:rPr>
        <w:t>成果内容</w:t>
      </w:r>
      <w:bookmarkEnd w:id="160"/>
    </w:p>
    <w:p w14:paraId="5240FCB8">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bookmarkStart w:id="161" w:name="_Toc25161"/>
      <w:bookmarkStart w:id="162" w:name="_Toc4338"/>
      <w:bookmarkStart w:id="163" w:name="_Toc10295"/>
      <w:bookmarkStart w:id="164" w:name="_Toc8477"/>
      <w:r>
        <w:rPr>
          <w:rFonts w:hint="default" w:ascii="Times New Roman" w:hAnsi="Times New Roman" w:eastAsia="仿宋" w:cs="Times New Roman"/>
          <w:b w:val="0"/>
          <w:bCs/>
          <w:sz w:val="28"/>
          <w:szCs w:val="28"/>
          <w:lang w:val="en-US" w:eastAsia="zh-CN"/>
        </w:rPr>
        <w:t>（1）文字成果</w:t>
      </w:r>
      <w:bookmarkEnd w:id="161"/>
      <w:bookmarkEnd w:id="162"/>
      <w:bookmarkEnd w:id="163"/>
    </w:p>
    <w:p w14:paraId="3F9FEEFF">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①</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土地定级与基准地价更新评估工作报告；</w:t>
      </w:r>
    </w:p>
    <w:p w14:paraId="496C4B6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②</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土地定级与基准地价更新评估技术报告；</w:t>
      </w:r>
    </w:p>
    <w:p w14:paraId="72B72507">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③</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土地定级与基准地价更新评估成果报告。</w:t>
      </w:r>
    </w:p>
    <w:p w14:paraId="2D83E71F">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bookmarkStart w:id="165" w:name="_Toc9643"/>
      <w:bookmarkStart w:id="166" w:name="_Toc11346"/>
      <w:bookmarkStart w:id="167" w:name="_Toc21970"/>
      <w:bookmarkStart w:id="168" w:name="_Toc18043"/>
      <w:r>
        <w:rPr>
          <w:rFonts w:hint="default" w:ascii="Times New Roman" w:hAnsi="Times New Roman" w:eastAsia="仿宋" w:cs="Times New Roman"/>
          <w:b w:val="0"/>
          <w:bCs/>
          <w:sz w:val="28"/>
          <w:szCs w:val="28"/>
          <w:lang w:val="en-US" w:eastAsia="zh-CN"/>
        </w:rPr>
        <w:t>（2）表格</w:t>
      </w:r>
      <w:bookmarkEnd w:id="165"/>
      <w:r>
        <w:rPr>
          <w:rFonts w:hint="default" w:ascii="Times New Roman" w:hAnsi="Times New Roman" w:eastAsia="仿宋" w:cs="Times New Roman"/>
          <w:b w:val="0"/>
          <w:bCs/>
          <w:sz w:val="28"/>
          <w:szCs w:val="28"/>
          <w:lang w:val="en-US" w:eastAsia="zh-CN"/>
        </w:rPr>
        <w:t>成果</w:t>
      </w:r>
      <w:bookmarkEnd w:id="166"/>
      <w:bookmarkEnd w:id="167"/>
      <w:bookmarkEnd w:id="168"/>
    </w:p>
    <w:p w14:paraId="1DFE8008">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①</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土地定级分级面积汇总表；</w:t>
      </w:r>
    </w:p>
    <w:p w14:paraId="3FC4744B">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②</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单元总分值计算表；</w:t>
      </w:r>
    </w:p>
    <w:p w14:paraId="5026451C">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③</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基准地价表；</w:t>
      </w:r>
    </w:p>
    <w:p w14:paraId="5CA7F9A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④</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基准地价修正系数与说明表。</w:t>
      </w:r>
    </w:p>
    <w:p w14:paraId="7BB75D0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bookmarkStart w:id="169" w:name="_Toc30937"/>
      <w:bookmarkStart w:id="170" w:name="_Toc17631"/>
      <w:bookmarkStart w:id="171" w:name="_Toc5335"/>
      <w:bookmarkStart w:id="172" w:name="_Toc13411"/>
      <w:r>
        <w:rPr>
          <w:rFonts w:hint="default" w:ascii="Times New Roman" w:hAnsi="Times New Roman" w:eastAsia="仿宋" w:cs="Times New Roman"/>
          <w:b w:val="0"/>
          <w:bCs/>
          <w:sz w:val="28"/>
          <w:szCs w:val="28"/>
          <w:lang w:val="en-US" w:eastAsia="zh-CN"/>
        </w:rPr>
        <w:t>（3）图件</w:t>
      </w:r>
      <w:bookmarkEnd w:id="169"/>
      <w:r>
        <w:rPr>
          <w:rFonts w:hint="default" w:ascii="Times New Roman" w:hAnsi="Times New Roman" w:eastAsia="仿宋" w:cs="Times New Roman"/>
          <w:b w:val="0"/>
          <w:bCs/>
          <w:sz w:val="28"/>
          <w:szCs w:val="28"/>
          <w:lang w:val="en-US" w:eastAsia="zh-CN"/>
        </w:rPr>
        <w:t>成果</w:t>
      </w:r>
      <w:bookmarkEnd w:id="170"/>
      <w:bookmarkEnd w:id="171"/>
      <w:bookmarkEnd w:id="172"/>
    </w:p>
    <w:p w14:paraId="653AD11D">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①</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商业服务业用地级别与基准地价图；</w:t>
      </w:r>
    </w:p>
    <w:p w14:paraId="1839601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②</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居住用地级别与基准地价图；</w:t>
      </w:r>
    </w:p>
    <w:p w14:paraId="73B34E44">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③</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工矿用地级别与基准地价图；</w:t>
      </w:r>
    </w:p>
    <w:p w14:paraId="61192B42">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④</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val="en-US" w:eastAsia="zh-CN"/>
        </w:rPr>
        <w:t>公共管理与公共服务</w:t>
      </w:r>
      <w:r>
        <w:rPr>
          <w:rFonts w:hint="default" w:ascii="Times New Roman" w:hAnsi="Times New Roman" w:eastAsia="仿宋" w:cs="Times New Roman"/>
          <w:b w:val="0"/>
          <w:bCs/>
          <w:sz w:val="28"/>
          <w:szCs w:val="28"/>
          <w:lang w:eastAsia="zh-CN"/>
        </w:rPr>
        <w:t>用地级别与基准地价图；</w:t>
      </w:r>
    </w:p>
    <w:p w14:paraId="75A2F209">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⑤</w:t>
      </w: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公用设施用地级别与基准地价图；</w:t>
      </w:r>
    </w:p>
    <w:p w14:paraId="306B7EEE">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⑥</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商业服务业用地样点分布图；</w:t>
      </w:r>
    </w:p>
    <w:p w14:paraId="1E4D53E4">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⑦</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居住用地样点分布图；</w:t>
      </w:r>
    </w:p>
    <w:p w14:paraId="42851761">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val="en-US" w:eastAsia="zh-CN"/>
        </w:rPr>
        <w:t>⑧</w:t>
      </w: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土地定级因素作用分值图。</w:t>
      </w:r>
    </w:p>
    <w:p w14:paraId="7320501A">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bookmarkStart w:id="173" w:name="_Toc25719"/>
      <w:bookmarkStart w:id="174" w:name="_Toc12878"/>
      <w:bookmarkStart w:id="175" w:name="_Toc20397"/>
      <w:r>
        <w:rPr>
          <w:rFonts w:hint="default" w:ascii="Times New Roman" w:hAnsi="Times New Roman" w:eastAsia="仿宋" w:cs="Times New Roman"/>
          <w:b w:val="0"/>
          <w:bCs/>
          <w:sz w:val="28"/>
          <w:szCs w:val="28"/>
          <w:lang w:val="en-US" w:eastAsia="zh-CN"/>
        </w:rPr>
        <w:t>（4）数据库成果</w:t>
      </w:r>
      <w:bookmarkEnd w:id="173"/>
      <w:bookmarkEnd w:id="174"/>
      <w:bookmarkEnd w:id="175"/>
    </w:p>
    <w:p w14:paraId="4D58ACDF">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eastAsia" w:ascii="Times New Roman" w:hAnsi="Times New Roman" w:eastAsia="仿宋" w:cs="Times New Roman"/>
          <w:b w:val="0"/>
          <w:bCs/>
          <w:sz w:val="28"/>
          <w:szCs w:val="28"/>
          <w:lang w:val="en-US" w:eastAsia="zh-CN"/>
        </w:rPr>
        <w:t>五原县</w:t>
      </w:r>
      <w:r>
        <w:rPr>
          <w:rFonts w:hint="eastAsia" w:eastAsia="仿宋" w:cs="Times New Roman"/>
          <w:b w:val="0"/>
          <w:bCs/>
          <w:sz w:val="28"/>
          <w:szCs w:val="28"/>
          <w:lang w:val="en-US" w:eastAsia="zh-CN"/>
        </w:rPr>
        <w:t>巴彦套海</w:t>
      </w:r>
      <w:r>
        <w:rPr>
          <w:rFonts w:hint="eastAsia" w:ascii="Times New Roman" w:hAnsi="Times New Roman" w:eastAsia="仿宋" w:cs="Times New Roman"/>
          <w:b w:val="0"/>
          <w:bCs/>
          <w:sz w:val="28"/>
          <w:szCs w:val="28"/>
          <w:lang w:val="en-US" w:eastAsia="zh-CN"/>
        </w:rPr>
        <w:t>镇</w:t>
      </w:r>
      <w:r>
        <w:rPr>
          <w:rFonts w:hint="default" w:ascii="Times New Roman" w:hAnsi="Times New Roman" w:eastAsia="仿宋" w:cs="Times New Roman"/>
          <w:b w:val="0"/>
          <w:bCs/>
          <w:sz w:val="28"/>
          <w:szCs w:val="28"/>
          <w:lang w:val="en-US" w:eastAsia="zh-CN"/>
        </w:rPr>
        <w:t>土地定级与基准地价更新数据库</w:t>
      </w:r>
    </w:p>
    <w:p w14:paraId="49D4DD3B">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bookmarkStart w:id="176" w:name="_Toc32757"/>
      <w:bookmarkStart w:id="177" w:name="_Toc18576"/>
      <w:bookmarkStart w:id="178" w:name="_Toc11025"/>
      <w:bookmarkStart w:id="179" w:name="_Toc798"/>
      <w:r>
        <w:rPr>
          <w:rFonts w:hint="default" w:ascii="Times New Roman" w:hAnsi="Times New Roman" w:eastAsia="仿宋" w:cs="Times New Roman"/>
          <w:b w:val="0"/>
          <w:bCs/>
          <w:sz w:val="28"/>
          <w:szCs w:val="28"/>
          <w:lang w:val="en-US" w:eastAsia="zh-CN"/>
        </w:rPr>
        <w:t>（5）基础资料汇编</w:t>
      </w:r>
      <w:bookmarkEnd w:id="176"/>
      <w:bookmarkEnd w:id="177"/>
      <w:bookmarkEnd w:id="178"/>
    </w:p>
    <w:p w14:paraId="3B2A432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①城镇土地定级原始资料、中间过程计算结果表和其他过度图、表；</w:t>
      </w:r>
    </w:p>
    <w:p w14:paraId="55E22A5E">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②因素作用分值图表；</w:t>
      </w:r>
    </w:p>
    <w:p w14:paraId="209DF44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③地价样点表汇编。</w:t>
      </w:r>
    </w:p>
    <w:bookmarkEnd w:id="179"/>
    <w:p w14:paraId="0C7D6D0B">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2、成果</w:t>
      </w:r>
      <w:bookmarkStart w:id="180" w:name="_Toc312920507"/>
      <w:r>
        <w:rPr>
          <w:rFonts w:hint="default" w:ascii="Times New Roman" w:hAnsi="Times New Roman" w:eastAsia="仿宋" w:cs="Times New Roman"/>
          <w:b w:val="0"/>
          <w:bCs/>
          <w:sz w:val="28"/>
          <w:szCs w:val="28"/>
          <w:lang w:val="en-US" w:eastAsia="zh-CN"/>
        </w:rPr>
        <w:t>应用建议</w:t>
      </w:r>
      <w:bookmarkEnd w:id="164"/>
    </w:p>
    <w:bookmarkEnd w:id="180"/>
    <w:p w14:paraId="0D36E2AD">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eastAsia" w:ascii="Times New Roman" w:hAnsi="Times New Roman" w:eastAsia="仿宋" w:cs="Times New Roman"/>
          <w:b w:val="0"/>
          <w:bCs/>
          <w:sz w:val="28"/>
          <w:szCs w:val="28"/>
          <w:lang w:eastAsia="zh-CN"/>
        </w:rPr>
        <w:t>五原县</w:t>
      </w:r>
      <w:r>
        <w:rPr>
          <w:rFonts w:hint="eastAsia" w:eastAsia="仿宋" w:cs="Times New Roman"/>
          <w:b w:val="0"/>
          <w:bCs/>
          <w:sz w:val="28"/>
          <w:szCs w:val="28"/>
          <w:lang w:eastAsia="zh-CN"/>
        </w:rPr>
        <w:t>巴彦套海</w:t>
      </w:r>
      <w:r>
        <w:rPr>
          <w:rFonts w:hint="eastAsia" w:ascii="Times New Roman" w:hAnsi="Times New Roman" w:eastAsia="仿宋" w:cs="Times New Roman"/>
          <w:b w:val="0"/>
          <w:bCs/>
          <w:sz w:val="28"/>
          <w:szCs w:val="28"/>
          <w:lang w:eastAsia="zh-CN"/>
        </w:rPr>
        <w:t>镇</w:t>
      </w:r>
      <w:r>
        <w:rPr>
          <w:rFonts w:hint="default" w:ascii="Times New Roman" w:hAnsi="Times New Roman" w:eastAsia="仿宋" w:cs="Times New Roman"/>
          <w:b w:val="0"/>
          <w:bCs/>
          <w:sz w:val="28"/>
          <w:szCs w:val="28"/>
          <w:lang w:eastAsia="zh-CN"/>
        </w:rPr>
        <w:t>土地定级与基准地价评估成果为该区加强土地资产管理，开拓房地产市场，实行对外提供科学合理的依据，发挥其经济杠杆作用。为此，我们提出以下几点应用建议：</w:t>
      </w:r>
    </w:p>
    <w:p w14:paraId="7CEDA37E">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（1）评估成果作用</w:t>
      </w:r>
    </w:p>
    <w:p w14:paraId="17F84D7E">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eastAsia="zh-CN"/>
        </w:rPr>
        <w:t>城镇土地基准地价评估成果是城市的宝贵财富，不仅为政府管理土地市场提供了宏观和微观两个方面的地价数据，而且也为政府制定土地管理各项政策、法规和措施提供了依据，所以希望政府充分发挥土地市场地价的控制和经济导向作用，合理引导投资方向和土地利用方式。</w:t>
      </w:r>
    </w:p>
    <w:p w14:paraId="77215D97">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（2）评估成果确定价格</w:t>
      </w:r>
    </w:p>
    <w:p w14:paraId="7383800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eastAsia="zh-CN"/>
        </w:rPr>
        <w:t>依城市土地基准地价评估成果确定土地出让、转让价格。在土地使用制度改革条件下，流转中的任何土地都应具有自己的价格。作为经济发展的需要或特殊政策的考虑，可采用优惠的地价对策，鼓励某些产业发展和引进外资，但要明确地价对策的区别，在明确估出应有地价的基础上，政府可以根据本地区经济发展的特点和自然条件，灵活的地价政策来吸引外资发展经济。</w:t>
      </w:r>
    </w:p>
    <w:p w14:paraId="384008AC">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（3）评估成果土地级别价格数据</w:t>
      </w:r>
    </w:p>
    <w:p w14:paraId="194D6DD2">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eastAsia="zh-CN"/>
        </w:rPr>
        <w:t>城镇土地基准地价评估成果提供了土地级别价格数据，建议政府在今后收取土地使用税费时，要从价征收，利用税收调节土地利用级差收益，抑制土地炒卖以防止国有土地资产流失。</w:t>
      </w:r>
    </w:p>
    <w:p w14:paraId="44460B98">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b w:val="0"/>
          <w:bCs/>
          <w:sz w:val="28"/>
          <w:szCs w:val="28"/>
          <w:lang w:val="en-US" w:eastAsia="zh-CN"/>
        </w:rPr>
        <w:t>（4）估价成果要随着市场变化及时更新</w:t>
      </w:r>
    </w:p>
    <w:p w14:paraId="710E0D5A">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仿宋" w:cs="Times New Roman"/>
          <w:b w:val="0"/>
          <w:bCs/>
          <w:sz w:val="28"/>
          <w:szCs w:val="28"/>
          <w:lang w:eastAsia="zh-CN"/>
        </w:rPr>
      </w:pPr>
      <w:r>
        <w:rPr>
          <w:rFonts w:hint="default" w:ascii="Times New Roman" w:hAnsi="Times New Roman" w:eastAsia="仿宋" w:cs="Times New Roman"/>
          <w:b w:val="0"/>
          <w:bCs/>
          <w:sz w:val="28"/>
          <w:szCs w:val="28"/>
          <w:lang w:eastAsia="zh-CN"/>
        </w:rPr>
        <w:t>地产市场是一个动态市场，地产市场发展变化或影响地价各种因素发生变化时，地价也会随之发生变化。为了保持基准地价成果和宗地地价评估标准的现实性，必须对地价进行重新评估，及时更新基准地价成果和宗地地价标准。成果更新方式，一般是使用两年对基准地价进行全面或局部重新评定。对局部条件发生较大变化的，可半年进行一次。</w:t>
      </w:r>
    </w:p>
    <w:p w14:paraId="60C1FB09">
      <w:pPr>
        <w:pStyle w:val="3"/>
        <w:adjustRightInd w:val="0"/>
        <w:snapToGrid w:val="0"/>
        <w:spacing w:before="156" w:beforeLines="50" w:after="0" w:line="360" w:lineRule="auto"/>
        <w:ind w:firstLine="301" w:firstLineChars="100"/>
        <w:jc w:val="both"/>
        <w:outlineLvl w:val="1"/>
        <w:rPr>
          <w:rFonts w:hint="eastAsia" w:ascii="仿宋" w:hAnsi="仿宋" w:eastAsia="仿宋" w:cs="仿宋"/>
          <w:b/>
          <w:bCs/>
          <w:sz w:val="30"/>
          <w:szCs w:val="30"/>
          <w:lang w:val="en-US" w:eastAsia="zh-CN"/>
        </w:rPr>
      </w:pPr>
      <w:bookmarkStart w:id="181" w:name="_Toc23523"/>
      <w:bookmarkStart w:id="182" w:name="_Toc3916"/>
      <w:bookmarkStart w:id="183" w:name="_Toc31501"/>
      <w:bookmarkStart w:id="184" w:name="_Toc26720"/>
      <w:r>
        <w:rPr>
          <w:rFonts w:hint="eastAsia" w:ascii="仿宋" w:hAnsi="仿宋" w:eastAsia="仿宋" w:cs="仿宋"/>
          <w:b/>
          <w:bCs/>
          <w:sz w:val="30"/>
          <w:szCs w:val="30"/>
          <w:lang w:val="en-US" w:eastAsia="zh-CN"/>
        </w:rPr>
        <w:t>（二）成果的应用说明</w:t>
      </w:r>
      <w:bookmarkEnd w:id="181"/>
      <w:bookmarkEnd w:id="182"/>
      <w:bookmarkEnd w:id="183"/>
      <w:bookmarkEnd w:id="184"/>
    </w:p>
    <w:p w14:paraId="570E30F4">
      <w:pPr>
        <w:pStyle w:val="4"/>
        <w:keepNext/>
        <w:keepLines/>
        <w:pageBreakBefore w:val="0"/>
        <w:widowControl w:val="0"/>
        <w:kinsoku/>
        <w:wordWrap/>
        <w:overflowPunct/>
        <w:topLinePunct w:val="0"/>
        <w:autoSpaceDE/>
        <w:autoSpaceDN/>
        <w:bidi w:val="0"/>
        <w:adjustRightInd w:val="0"/>
        <w:snapToGrid w:val="0"/>
        <w:spacing w:before="0" w:after="0" w:line="360" w:lineRule="auto"/>
        <w:ind w:left="0" w:firstLine="560" w:firstLineChars="200"/>
        <w:textAlignment w:val="auto"/>
        <w:rPr>
          <w:rFonts w:hint="eastAsia" w:ascii="仿宋" w:hAnsi="仿宋" w:eastAsia="仿宋" w:cs="仿宋"/>
          <w:b w:val="0"/>
          <w:bCs w:val="0"/>
          <w:kern w:val="2"/>
          <w:sz w:val="28"/>
          <w:szCs w:val="28"/>
          <w:lang w:val="en-US" w:eastAsia="zh-CN" w:bidi="ar-SA"/>
        </w:rPr>
      </w:pPr>
      <w:bookmarkStart w:id="185" w:name="_Toc11594"/>
      <w:bookmarkStart w:id="186" w:name="_Toc26599"/>
      <w:bookmarkStart w:id="187" w:name="_Toc10614"/>
      <w:bookmarkStart w:id="188" w:name="_Toc29572"/>
      <w:bookmarkStart w:id="189" w:name="_Toc451453717"/>
      <w:bookmarkStart w:id="190" w:name="_Toc31147"/>
      <w:bookmarkStart w:id="191" w:name="_Toc455065182"/>
      <w:bookmarkStart w:id="192" w:name="_Toc27453"/>
      <w:bookmarkStart w:id="193" w:name="_Toc28504"/>
      <w:r>
        <w:rPr>
          <w:rFonts w:hint="eastAsia" w:ascii="仿宋" w:hAnsi="仿宋" w:eastAsia="仿宋" w:cs="仿宋"/>
          <w:b w:val="0"/>
          <w:bCs w:val="0"/>
          <w:kern w:val="2"/>
          <w:sz w:val="28"/>
          <w:szCs w:val="28"/>
          <w:lang w:val="en-US" w:eastAsia="zh-CN" w:bidi="ar-SA"/>
        </w:rPr>
        <w:t>1、土地定级成果的应用说明</w:t>
      </w:r>
      <w:bookmarkEnd w:id="185"/>
      <w:bookmarkEnd w:id="186"/>
      <w:bookmarkEnd w:id="187"/>
      <w:bookmarkEnd w:id="188"/>
      <w:bookmarkEnd w:id="189"/>
      <w:bookmarkEnd w:id="190"/>
      <w:bookmarkEnd w:id="191"/>
      <w:bookmarkEnd w:id="192"/>
      <w:bookmarkEnd w:id="193"/>
    </w:p>
    <w:p w14:paraId="180B8740">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（1）定级成果应用</w:t>
      </w:r>
    </w:p>
    <w:p w14:paraId="5B857089">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土地级别反应城镇内部土地质量和利用效益的差异，可为国土空间规划、土地计划等的制定提供依据，进而达到合理配置城镇土地，最大限度的发挥土地资产最佳经济、社会、环境的综合效益。</w:t>
      </w:r>
    </w:p>
    <w:p w14:paraId="5F3E31DE">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土地管理和城市规划部门应根据土地级别，遵循最佳利用原则，合理安排城市内各功能用地结构，尽可能提高各级别土地的利用效率，减少不合理的用地现象。</w:t>
      </w:r>
    </w:p>
    <w:p w14:paraId="7B509B35">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（2）各因素作用分值图的应用</w:t>
      </w:r>
    </w:p>
    <w:p w14:paraId="0C164EDA">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应用此类图件时可采用等值线内插法判读或计算某一宗地的作用分值平均值。如利用商服繁华作用分值图，可量化某一宗地的商服繁华程度。当采用比较法进行宗地估价时，可计算待估宗地与参照宗地繁华程度比较系数，从而求得繁华程度的修正系数。同样，利用基准地价修正系数法评估土地亦可利用各因素作用分图，以此作为测算各类因素对待估宗地修正系数的依据之一。</w:t>
      </w:r>
    </w:p>
    <w:p w14:paraId="79EC1B14">
      <w:pPr>
        <w:pStyle w:val="4"/>
        <w:keepNext/>
        <w:keepLines/>
        <w:pageBreakBefore w:val="0"/>
        <w:widowControl w:val="0"/>
        <w:kinsoku/>
        <w:wordWrap/>
        <w:overflowPunct/>
        <w:topLinePunct w:val="0"/>
        <w:autoSpaceDE/>
        <w:autoSpaceDN/>
        <w:bidi w:val="0"/>
        <w:adjustRightInd w:val="0"/>
        <w:snapToGrid w:val="0"/>
        <w:spacing w:before="0" w:after="0" w:line="360" w:lineRule="auto"/>
        <w:ind w:left="0" w:firstLine="560" w:firstLineChars="200"/>
        <w:textAlignment w:val="auto"/>
        <w:rPr>
          <w:rFonts w:hint="eastAsia" w:ascii="仿宋" w:hAnsi="仿宋" w:eastAsia="仿宋" w:cs="仿宋"/>
          <w:b w:val="0"/>
          <w:bCs w:val="0"/>
          <w:kern w:val="2"/>
          <w:sz w:val="28"/>
          <w:szCs w:val="28"/>
          <w:lang w:val="en-US" w:eastAsia="zh-CN" w:bidi="ar-SA"/>
        </w:rPr>
      </w:pPr>
      <w:bookmarkStart w:id="194" w:name="_Toc451453718"/>
      <w:bookmarkStart w:id="195" w:name="_Toc17662"/>
      <w:bookmarkStart w:id="196" w:name="_Toc455065183"/>
      <w:bookmarkStart w:id="197" w:name="_Toc26833"/>
      <w:bookmarkStart w:id="198" w:name="_Toc11556"/>
      <w:bookmarkStart w:id="199" w:name="_Toc23663"/>
      <w:bookmarkStart w:id="200" w:name="_Toc2343"/>
      <w:bookmarkStart w:id="201" w:name="_Toc20704"/>
      <w:bookmarkStart w:id="202" w:name="_Toc451178978"/>
      <w:bookmarkStart w:id="203" w:name="_Toc4428"/>
      <w:bookmarkStart w:id="204" w:name="_Toc440099632"/>
      <w:r>
        <w:rPr>
          <w:rFonts w:hint="eastAsia" w:ascii="仿宋" w:hAnsi="仿宋" w:eastAsia="仿宋" w:cs="仿宋"/>
          <w:b w:val="0"/>
          <w:bCs w:val="0"/>
          <w:kern w:val="2"/>
          <w:sz w:val="28"/>
          <w:szCs w:val="28"/>
          <w:lang w:val="en-US" w:eastAsia="zh-CN" w:bidi="ar-SA"/>
        </w:rPr>
        <w:t>2、基准地价成果的应用说明</w:t>
      </w:r>
      <w:bookmarkEnd w:id="194"/>
      <w:bookmarkEnd w:id="195"/>
      <w:bookmarkEnd w:id="196"/>
      <w:bookmarkEnd w:id="197"/>
      <w:bookmarkEnd w:id="198"/>
      <w:bookmarkEnd w:id="199"/>
      <w:bookmarkEnd w:id="200"/>
      <w:bookmarkEnd w:id="201"/>
      <w:bookmarkEnd w:id="202"/>
      <w:bookmarkEnd w:id="203"/>
      <w:bookmarkEnd w:id="204"/>
    </w:p>
    <w:p w14:paraId="08DF234B">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（1）基准地价成果的应用</w:t>
      </w:r>
    </w:p>
    <w:p w14:paraId="09EAF2BE">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基准地价成果涉及到的部门多，应用范围广。</w:t>
      </w:r>
    </w:p>
    <w:p w14:paraId="60B40AC8">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A、建立健全地价体系，为各部门、土地使用者、经营者服务；</w:t>
      </w:r>
    </w:p>
    <w:p w14:paraId="790D73C9">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B、为政府制定土地管理政策、法规、措施提供依据；</w:t>
      </w:r>
    </w:p>
    <w:p w14:paraId="1ADB2683">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C、为投资者提供地价信息，合理引导投资方向；</w:t>
      </w:r>
    </w:p>
    <w:p w14:paraId="2C4E91A3">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D、为国有土地使用权出让提供价格依据；</w:t>
      </w:r>
    </w:p>
    <w:p w14:paraId="49E44232">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E、为企业清产核资、事业单产核定土地资产提供依据；</w:t>
      </w:r>
    </w:p>
    <w:p w14:paraId="2077EEBB">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F、为有关部门收取土地费税提供依据。</w:t>
      </w:r>
    </w:p>
    <w:p w14:paraId="1F664ED8">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（2）基准地价成果的应用说明</w:t>
      </w:r>
    </w:p>
    <w:p w14:paraId="504A6871">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①应用基准地价和基准地价修正体系成果的说明</w:t>
      </w:r>
    </w:p>
    <w:p w14:paraId="25E26320">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基准地价系数修正法，主要用于宗地价格评估，即利用城镇土地级别、基准地价、修正体系等成果和代替原则，就待估宗地的区域条件与所在区域的平均条件相比较，对照系数修正表，选取相应的修正系数，对基准地价进行相应的修正，从而求取待估宗地在估价期日的地价方法。其主要工作步骤如下：</w:t>
      </w:r>
    </w:p>
    <w:p w14:paraId="06228CFD">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1）收集资料土地定级与基准地价更新成果材料，土地级别图表、基准地价图表、修正系数体系及说明。</w:t>
      </w:r>
    </w:p>
    <w:p w14:paraId="4E1ED431">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2）土地级别：查明待估宗地所处的土地级别，该级别的基准地价和相应的修正系数、因素条件说明表。</w:t>
      </w:r>
    </w:p>
    <w:p w14:paraId="0AE8229C">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3）影响因素：要调查影响宗地价格的因素指标条件，获取影响宗地价格区位因素指标、以及容积率、使用年期、宗地面积、形状等在内的个别因素指标。</w:t>
      </w:r>
    </w:p>
    <w:p w14:paraId="1E4465B1">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4）确定系数：原宗地的区位因素指标条件与相应的修正因素条件说明表进行比较，确定待估宗地对应各项修正因子的优劣状况，再查找修正系数表，确定宗地各项修正因子应修正的比率，即区位因素修正系数。原宗地的个别因素指标条件与宗地个别因素修正系数表的条件描述进行比较，确定个别因素修正系数。</w:t>
      </w:r>
    </w:p>
    <w:p w14:paraId="32560F06">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5）计</w:t>
      </w:r>
      <w:r>
        <w:rPr>
          <w:rFonts w:hint="default" w:ascii="Times New Roman" w:hAnsi="Times New Roman" w:eastAsia="仿宋" w:cs="Times New Roman"/>
          <w:b w:val="0"/>
          <w:bCs w:val="0"/>
          <w:kern w:val="2"/>
          <w:sz w:val="28"/>
          <w:szCs w:val="28"/>
          <w:lang w:val="en-US" w:eastAsia="zh-CN" w:bidi="ar-SA"/>
        </w:rPr>
        <w:t>算地价：利用下式计算宗地的价格</w:t>
      </w:r>
    </w:p>
    <w:p w14:paraId="612D776B">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公式：P</w:t>
      </w:r>
      <w:r>
        <w:rPr>
          <w:rFonts w:hint="default" w:ascii="Times New Roman" w:hAnsi="Times New Roman" w:eastAsia="仿宋" w:cs="Times New Roman"/>
          <w:b w:val="0"/>
          <w:bCs w:val="0"/>
          <w:kern w:val="2"/>
          <w:sz w:val="28"/>
          <w:szCs w:val="28"/>
          <w:vertAlign w:val="subscript"/>
          <w:lang w:val="en-US" w:eastAsia="zh-CN" w:bidi="ar-SA"/>
        </w:rPr>
        <w:t>i</w:t>
      </w:r>
      <w:r>
        <w:rPr>
          <w:rFonts w:hint="default" w:ascii="Times New Roman" w:hAnsi="Times New Roman" w:eastAsia="仿宋" w:cs="Times New Roman"/>
          <w:b w:val="0"/>
          <w:bCs w:val="0"/>
          <w:kern w:val="2"/>
          <w:sz w:val="28"/>
          <w:szCs w:val="28"/>
          <w:lang w:val="en-US" w:eastAsia="zh-CN" w:bidi="ar-SA"/>
        </w:rPr>
        <w:t>= P×（1±K）×∏</w:t>
      </w:r>
      <w:r>
        <w:rPr>
          <w:rFonts w:hint="default" w:ascii="Times New Roman" w:hAnsi="Times New Roman" w:eastAsia="仿宋" w:cs="Times New Roman"/>
          <w:b w:val="0"/>
          <w:bCs w:val="0"/>
          <w:kern w:val="2"/>
          <w:sz w:val="28"/>
          <w:szCs w:val="28"/>
          <w:vertAlign w:val="subscript"/>
          <w:lang w:val="en-US" w:eastAsia="zh-CN" w:bidi="ar-SA"/>
        </w:rPr>
        <w:t>S</w:t>
      </w:r>
      <w:r>
        <w:rPr>
          <w:rFonts w:hint="default" w:ascii="Times New Roman" w:hAnsi="Times New Roman" w:eastAsia="仿宋" w:cs="Times New Roman"/>
          <w:b w:val="0"/>
          <w:bCs w:val="0"/>
          <w:kern w:val="2"/>
          <w:sz w:val="28"/>
          <w:szCs w:val="28"/>
          <w:lang w:val="en-US" w:eastAsia="zh-CN" w:bidi="ar-SA"/>
        </w:rPr>
        <w:t xml:space="preserve">                               </w:t>
      </w:r>
    </w:p>
    <w:p w14:paraId="7CF5EA97">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其中： K=</w:t>
      </w:r>
      <w:r>
        <w:rPr>
          <w:rFonts w:hint="default" w:ascii="Times New Roman" w:hAnsi="Times New Roman" w:eastAsia="仿宋" w:cs="Times New Roman"/>
          <w:b w:val="0"/>
          <w:bCs w:val="0"/>
          <w:kern w:val="2"/>
          <w:sz w:val="28"/>
          <w:szCs w:val="28"/>
          <w:lang w:val="en-US" w:eastAsia="zh-CN" w:bidi="ar-SA"/>
        </w:rPr>
        <w:object>
          <v:shape id="_x0000_i1026" o:spt="75" type="#_x0000_t75" style="height:33.65pt;width:31.3pt;" o:ole="t" filled="f" o:preferrelative="t" stroked="f" coordsize="21600,21600">
            <v:path/>
            <v:fill on="f" focussize="0,0"/>
            <v:stroke on="f"/>
            <v:imagedata r:id="rId26" o:title=""/>
            <o:lock v:ext="edit" aspectratio="t"/>
            <w10:wrap type="none"/>
            <w10:anchorlock/>
          </v:shape>
          <o:OLEObject Type="Embed" ProgID="Equation.3" ShapeID="_x0000_i1026" DrawAspect="Content" ObjectID="_1468075726" r:id="rId25">
            <o:LockedField>false</o:LockedField>
          </o:OLEObject>
        </w:object>
      </w:r>
    </w:p>
    <w:p w14:paraId="03702066">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式中： P</w:t>
      </w:r>
      <w:r>
        <w:rPr>
          <w:rFonts w:hint="default" w:ascii="Times New Roman" w:hAnsi="Times New Roman" w:eastAsia="仿宋" w:cs="Times New Roman"/>
          <w:b w:val="0"/>
          <w:bCs w:val="0"/>
          <w:kern w:val="2"/>
          <w:sz w:val="28"/>
          <w:szCs w:val="28"/>
          <w:vertAlign w:val="subscript"/>
          <w:lang w:val="en-US" w:eastAsia="zh-CN" w:bidi="ar-SA"/>
        </w:rPr>
        <w:t>i</w:t>
      </w:r>
      <w:r>
        <w:rPr>
          <w:rFonts w:hint="default" w:ascii="Times New Roman" w:hAnsi="Times New Roman" w:eastAsia="仿宋" w:cs="Times New Roman"/>
          <w:b w:val="0"/>
          <w:bCs w:val="0"/>
          <w:kern w:val="2"/>
          <w:sz w:val="28"/>
          <w:szCs w:val="28"/>
          <w:lang w:val="en-US" w:eastAsia="zh-CN" w:bidi="ar-SA"/>
        </w:rPr>
        <w:t>——待估宗地价格；</w:t>
      </w:r>
    </w:p>
    <w:p w14:paraId="13059AB7">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P——待估宗地对应的基准地价；</w:t>
      </w:r>
    </w:p>
    <w:p w14:paraId="56E58DFA">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K——待估宗地所有影响因素总修正值；</w:t>
      </w:r>
    </w:p>
    <w:p w14:paraId="18AF1691">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w:t>
      </w:r>
      <w:r>
        <w:rPr>
          <w:rFonts w:hint="default" w:ascii="Times New Roman" w:hAnsi="Times New Roman" w:eastAsia="仿宋" w:cs="Times New Roman"/>
          <w:b w:val="0"/>
          <w:bCs w:val="0"/>
          <w:kern w:val="2"/>
          <w:sz w:val="28"/>
          <w:szCs w:val="28"/>
          <w:vertAlign w:val="subscript"/>
          <w:lang w:val="en-US" w:eastAsia="zh-CN" w:bidi="ar-SA"/>
        </w:rPr>
        <w:t>S</w:t>
      </w:r>
      <w:r>
        <w:rPr>
          <w:rFonts w:hint="default" w:ascii="Times New Roman" w:hAnsi="Times New Roman" w:eastAsia="仿宋" w:cs="Times New Roman"/>
          <w:b w:val="0"/>
          <w:bCs w:val="0"/>
          <w:kern w:val="2"/>
          <w:sz w:val="28"/>
          <w:szCs w:val="28"/>
          <w:lang w:val="en-US" w:eastAsia="zh-CN" w:bidi="ar-SA"/>
        </w:rPr>
        <w:t>——待估宗地个别因素修正系数的乘积；</w:t>
      </w:r>
    </w:p>
    <w:p w14:paraId="71AE0375">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　　   K</w:t>
      </w:r>
      <w:r>
        <w:rPr>
          <w:rFonts w:hint="default" w:ascii="Times New Roman" w:hAnsi="Times New Roman" w:eastAsia="仿宋" w:cs="Times New Roman"/>
          <w:b w:val="0"/>
          <w:bCs w:val="0"/>
          <w:kern w:val="2"/>
          <w:sz w:val="28"/>
          <w:szCs w:val="28"/>
          <w:vertAlign w:val="subscript"/>
          <w:lang w:val="en-US" w:eastAsia="zh-CN" w:bidi="ar-SA"/>
        </w:rPr>
        <w:t>i</w:t>
      </w:r>
      <w:r>
        <w:rPr>
          <w:rFonts w:hint="default" w:ascii="Times New Roman" w:hAnsi="Times New Roman" w:eastAsia="仿宋" w:cs="Times New Roman"/>
          <w:b w:val="0"/>
          <w:bCs w:val="0"/>
          <w:kern w:val="2"/>
          <w:sz w:val="28"/>
          <w:szCs w:val="28"/>
          <w:lang w:val="en-US" w:eastAsia="zh-CN" w:bidi="ar-SA"/>
        </w:rPr>
        <w:t>——第i个待估宗地区位因素修正系数。</w:t>
      </w:r>
    </w:p>
    <w:p w14:paraId="1E199236">
      <w:pPr>
        <w:pageBreakBefore w:val="0"/>
        <w:kinsoku/>
        <w:wordWrap/>
        <w:overflowPunct/>
        <w:topLinePunct w:val="0"/>
        <w:autoSpaceDE/>
        <w:autoSpaceDN/>
        <w:bidi w:val="0"/>
        <w:adjustRightInd w:val="0"/>
        <w:spacing w:line="360" w:lineRule="auto"/>
        <w:ind w:left="0" w:firstLine="560" w:firstLineChars="200"/>
        <w:textAlignment w:val="auto"/>
        <w:rPr>
          <w:rFonts w:hint="default" w:ascii="Times New Roman" w:hAnsi="Times New Roman" w:eastAsia="仿宋" w:cs="Times New Roman"/>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利用土地定级与基准地价更新信息系统，可实现土地定级成果的动态管理与更新。保持土地定级成果的现势性，关键在于及时收集与更新原土地定级资料。</w:t>
      </w:r>
    </w:p>
    <w:p w14:paraId="3F558636">
      <w:pPr>
        <w:pageBreakBefore w:val="0"/>
        <w:kinsoku/>
        <w:wordWrap/>
        <w:overflowPunct/>
        <w:topLinePunct w:val="0"/>
        <w:autoSpaceDE/>
        <w:autoSpaceDN/>
        <w:bidi w:val="0"/>
        <w:adjustRightInd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default" w:ascii="Times New Roman" w:hAnsi="Times New Roman" w:eastAsia="仿宋" w:cs="Times New Roman"/>
          <w:b w:val="0"/>
          <w:bCs w:val="0"/>
          <w:kern w:val="2"/>
          <w:sz w:val="28"/>
          <w:szCs w:val="28"/>
          <w:lang w:val="en-US" w:eastAsia="zh-CN" w:bidi="ar-SA"/>
        </w:rPr>
        <w:t>②成果应用的</w:t>
      </w:r>
      <w:r>
        <w:rPr>
          <w:rFonts w:hint="eastAsia" w:ascii="仿宋" w:hAnsi="仿宋" w:eastAsia="仿宋" w:cs="仿宋"/>
          <w:b w:val="0"/>
          <w:bCs w:val="0"/>
          <w:kern w:val="2"/>
          <w:sz w:val="28"/>
          <w:szCs w:val="28"/>
          <w:lang w:val="en-US" w:eastAsia="zh-CN" w:bidi="ar-SA"/>
        </w:rPr>
        <w:t>时效性说明</w:t>
      </w:r>
    </w:p>
    <w:p w14:paraId="5551761C">
      <w:pPr>
        <w:pageBreakBefore w:val="0"/>
        <w:kinsoku/>
        <w:wordWrap/>
        <w:overflowPunct/>
        <w:topLinePunct w:val="0"/>
        <w:autoSpaceDE/>
        <w:autoSpaceDN/>
        <w:bidi w:val="0"/>
        <w:spacing w:line="360" w:lineRule="auto"/>
        <w:ind w:left="0" w:firstLine="560" w:firstLineChars="200"/>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由于经济的发展、物价指数的变动、城市规划的要求、土地供求关系等因素的变动，基准地价不会永固，为了强化土地市场调控，应建立与之相适应的地价动态监测系统，定期公布基准地价和相应的宗地标定地价。</w:t>
      </w:r>
    </w:p>
    <w:p w14:paraId="0CE94624"/>
    <w:sectPr>
      <w:headerReference r:id="rId14" w:type="default"/>
      <w:footerReference r:id="rId15" w:type="default"/>
      <w:pgSz w:w="11905" w:h="16838"/>
      <w:pgMar w:top="1701" w:right="1701" w:bottom="1701" w:left="1701" w:header="1134" w:footer="102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8EC5F">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417F">
    <w:pPr>
      <w:pStyle w:val="9"/>
      <w:framePr w:wrap="around" w:vAnchor="text" w:hAnchor="margin" w:xAlign="center" w:y="1"/>
      <w:rPr>
        <w:rStyle w:val="16"/>
      </w:rPr>
    </w:pPr>
    <w:r>
      <w:fldChar w:fldCharType="begin"/>
    </w:r>
    <w:r>
      <w:rPr>
        <w:rStyle w:val="16"/>
      </w:rPr>
      <w:instrText xml:space="preserve">PAGE  </w:instrText>
    </w:r>
    <w:r>
      <w:fldChar w:fldCharType="end"/>
    </w:r>
  </w:p>
  <w:p w14:paraId="6463867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A8C0">
    <w:pPr>
      <w:pStyle w:val="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FAC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528A65">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D528A65">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4BEE">
    <w:pPr>
      <w:pStyle w:val="9"/>
      <w:jc w:val="center"/>
      <w:rPr>
        <w:rFonts w:ascii="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589C9">
    <w:pPr>
      <w:pStyle w:val="9"/>
      <w:jc w:val="center"/>
      <w:rPr>
        <w:rFonts w:ascii="宋体"/>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34548">
    <w:pPr>
      <w:pStyle w:val="9"/>
      <w:jc w:val="center"/>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788D1C">
                          <w:pPr>
                            <w:pStyle w:val="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E788D1C">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0AD34">
    <w:pPr>
      <w:pStyle w:val="9"/>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posOffset>2642235</wp:posOffset>
              </wp:positionH>
              <wp:positionV relativeFrom="paragraph">
                <wp:posOffset>0</wp:posOffset>
              </wp:positionV>
              <wp:extent cx="18923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9230" cy="1828800"/>
                      </a:xfrm>
                      <a:prstGeom prst="rect">
                        <a:avLst/>
                      </a:prstGeom>
                      <a:noFill/>
                      <a:ln>
                        <a:noFill/>
                      </a:ln>
                    </wps:spPr>
                    <wps:txbx>
                      <w:txbxContent>
                        <w:p w14:paraId="4D078424">
                          <w:pPr>
                            <w:pStyle w:val="9"/>
                          </w:pPr>
                          <w:r>
                            <w:fldChar w:fldCharType="begin"/>
                          </w:r>
                          <w:r>
                            <w:instrText xml:space="preserve"> PAGE  \* MERGEFORMAT </w:instrText>
                          </w:r>
                          <w:r>
                            <w:fldChar w:fldCharType="separate"/>
                          </w:r>
                          <w:r>
                            <w:t>2</w:t>
                          </w:r>
                          <w:r>
                            <w:fldChar w:fldCharType="end"/>
                          </w:r>
                        </w:p>
                      </w:txbxContent>
                    </wps:txbx>
                    <wps:bodyPr lIns="0" tIns="0" rIns="0" bIns="0" upright="0">
                      <a:spAutoFit/>
                    </wps:bodyPr>
                  </wps:wsp>
                </a:graphicData>
              </a:graphic>
            </wp:anchor>
          </w:drawing>
        </mc:Choice>
        <mc:Fallback>
          <w:pict>
            <v:shape id="_x0000_s1026" o:spid="_x0000_s1026" o:spt="202" type="#_x0000_t202" style="position:absolute;left:0pt;margin-left:208.05pt;margin-top:0pt;height:144pt;width:14.9pt;mso-position-horizontal-relative:margin;z-index:251661312;mso-width-relative:page;mso-height-relative:page;" filled="f" stroked="f" coordsize="21600,21600" o:gfxdata="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WxUdC9UAAAAIAQAADwAAAAAAAAABACAAAAAiAAAAZHJzL2Rvd25yZXYu&#10;eG1sUEsBAhQAFAAAAAgAh07iQCKYDQPFAQAAjAMAAA4AAAAAAAAAAQAgAAAAJAEAAGRycy9lMm9E&#10;b2MueG1sUEsFBgAAAAAGAAYAWQEAAFsFAAAAAA==&#10;">
              <v:fill on="f" focussize="0,0"/>
              <v:stroke on="f"/>
              <v:imagedata o:title=""/>
              <o:lock v:ext="edit" aspectratio="f"/>
              <v:textbox inset="0mm,0mm,0mm,0mm" style="mso-fit-shape-to-text:t;">
                <w:txbxContent>
                  <w:p w14:paraId="4D078424">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C9C49">
    <w:pPr>
      <w:pStyle w:val="9"/>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897D66">
                          <w:pPr>
                            <w:pStyle w:val="9"/>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9897D66">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9D367">
    <w:pPr>
      <w:pStyle w:val="10"/>
      <w:adjustRightInd w:val="0"/>
      <w:spacing w:before="240" w:beforeLines="100"/>
      <w:rPr>
        <w:rFonts w:ascii="宋体" w:hAnsi="宋体"/>
      </w:rPr>
    </w:pPr>
    <w:r>
      <w:rPr>
        <w:rFonts w:hint="eastAsia" w:ascii="宋体" w:hAnsi="宋体"/>
        <w:spacing w:val="-4"/>
        <w:sz w:val="21"/>
        <w:szCs w:val="21"/>
      </w:rPr>
      <w:t>扎鲁特旗</w:t>
    </w:r>
    <w:r>
      <w:rPr>
        <w:rFonts w:hint="eastAsia" w:ascii="宋体" w:hAnsi="宋体"/>
        <w:spacing w:val="-4"/>
        <w:sz w:val="21"/>
        <w:szCs w:val="21"/>
        <w:lang w:eastAsia="zh-CN"/>
      </w:rPr>
      <w:t>陕坝镇</w:t>
    </w:r>
    <w:r>
      <w:rPr>
        <w:rFonts w:hint="eastAsia" w:ascii="宋体" w:hAnsi="宋体"/>
        <w:spacing w:val="-4"/>
        <w:sz w:val="21"/>
        <w:szCs w:val="21"/>
      </w:rPr>
      <w:t>土地定级与基准地价更新技术报告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B7BC">
    <w:pPr>
      <w:pStyle w:val="10"/>
      <w:pBdr>
        <w:bottom w:val="single" w:color="auto" w:sz="6" w:space="0"/>
      </w:pBdr>
      <w:tabs>
        <w:tab w:val="left" w:pos="4050"/>
        <w:tab w:val="left" w:pos="6765"/>
        <w:tab w:val="right" w:pos="11765"/>
        <w:tab w:val="clear" w:pos="8306"/>
      </w:tabs>
      <w:rPr>
        <w:rFonts w:hint="eastAsia" w:ascii="仿宋_GB2312" w:hAnsi="宋体" w:eastAsia="仿宋_GB2312"/>
        <w:spacing w:val="-4"/>
        <w:sz w:val="21"/>
        <w:szCs w:val="21"/>
      </w:rPr>
    </w:pPr>
  </w:p>
  <w:p w14:paraId="364D1EBA">
    <w:pPr>
      <w:pStyle w:val="10"/>
      <w:pBdr>
        <w:bottom w:val="single" w:color="auto" w:sz="6" w:space="0"/>
      </w:pBdr>
      <w:tabs>
        <w:tab w:val="left" w:pos="4050"/>
        <w:tab w:val="left" w:pos="6765"/>
        <w:tab w:val="right" w:pos="11765"/>
        <w:tab w:val="clear" w:pos="8306"/>
      </w:tabs>
      <w:rPr>
        <w:rFonts w:hint="eastAsia" w:ascii="楷体" w:hAnsi="楷体" w:eastAsia="楷体" w:cs="楷体"/>
        <w:sz w:val="18"/>
        <w:szCs w:val="18"/>
      </w:rPr>
    </w:pPr>
    <w:r>
      <w:rPr>
        <w:rFonts w:hint="eastAsia" w:ascii="楷体" w:hAnsi="楷体" w:eastAsia="楷体" w:cs="楷体"/>
        <w:spacing w:val="-4"/>
        <w:sz w:val="18"/>
        <w:szCs w:val="18"/>
        <w:lang w:eastAsia="zh-CN"/>
      </w:rPr>
      <w:t>五原县巴彦套海镇</w:t>
    </w:r>
    <w:r>
      <w:rPr>
        <w:rFonts w:hint="eastAsia" w:ascii="楷体" w:hAnsi="楷体" w:eastAsia="楷体" w:cs="楷体"/>
        <w:spacing w:val="-4"/>
        <w:sz w:val="18"/>
        <w:szCs w:val="18"/>
      </w:rPr>
      <w:t>土地定级与基准地价更新成果报告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C416E">
    <w:pPr>
      <w:pStyle w:val="10"/>
      <w:pBdr>
        <w:bottom w:val="single" w:color="auto" w:sz="4" w:space="0"/>
      </w:pBdr>
      <w:tabs>
        <w:tab w:val="left" w:pos="4050"/>
        <w:tab w:val="left" w:pos="6765"/>
        <w:tab w:val="right" w:pos="11765"/>
        <w:tab w:val="clear" w:pos="8306"/>
      </w:tabs>
    </w:pPr>
    <w:r>
      <w:rPr>
        <w:rFonts w:hint="eastAsia" w:ascii="楷体" w:hAnsi="楷体" w:eastAsia="楷体" w:cs="楷体"/>
        <w:spacing w:val="-4"/>
        <w:sz w:val="18"/>
        <w:szCs w:val="18"/>
        <w:lang w:eastAsia="zh-CN"/>
      </w:rPr>
      <w:t>五原县巴彦套海镇</w:t>
    </w:r>
    <w:r>
      <w:rPr>
        <w:rFonts w:hint="eastAsia" w:ascii="楷体" w:hAnsi="楷体" w:eastAsia="楷体" w:cs="楷体"/>
        <w:spacing w:val="-4"/>
        <w:sz w:val="18"/>
        <w:szCs w:val="18"/>
      </w:rPr>
      <w:t>土地定级与基准地价更新成果报告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8155A">
    <w:pPr>
      <w:pStyle w:val="10"/>
      <w:pBdr>
        <w:bottom w:val="single" w:color="auto" w:sz="6" w:space="0"/>
      </w:pBdr>
      <w:tabs>
        <w:tab w:val="left" w:pos="4050"/>
        <w:tab w:val="left" w:pos="6765"/>
        <w:tab w:val="right" w:pos="11765"/>
        <w:tab w:val="clear" w:pos="8306"/>
      </w:tabs>
      <w:rPr>
        <w:rFonts w:hint="eastAsia" w:ascii="楷体" w:hAnsi="楷体" w:eastAsia="楷体" w:cs="楷体"/>
        <w:sz w:val="18"/>
        <w:szCs w:val="18"/>
      </w:rPr>
    </w:pPr>
    <w:r>
      <w:rPr>
        <w:rFonts w:hint="eastAsia" w:ascii="楷体" w:hAnsi="楷体" w:eastAsia="楷体" w:cs="楷体"/>
        <w:spacing w:val="-4"/>
        <w:sz w:val="18"/>
        <w:szCs w:val="18"/>
        <w:lang w:eastAsia="zh-CN"/>
      </w:rPr>
      <w:t>五原县巴彦套海镇</w:t>
    </w:r>
    <w:r>
      <w:rPr>
        <w:rFonts w:hint="eastAsia" w:ascii="楷体" w:hAnsi="楷体" w:eastAsia="楷体" w:cs="楷体"/>
        <w:spacing w:val="-4"/>
        <w:sz w:val="18"/>
        <w:szCs w:val="18"/>
      </w:rPr>
      <w:t>土地定级与基准地价更新</w:t>
    </w:r>
    <w:r>
      <w:rPr>
        <w:rFonts w:hint="eastAsia" w:ascii="楷体" w:hAnsi="楷体" w:eastAsia="楷体" w:cs="楷体"/>
        <w:spacing w:val="-4"/>
        <w:sz w:val="18"/>
        <w:szCs w:val="18"/>
        <w:lang w:val="en-US" w:eastAsia="zh-CN"/>
      </w:rPr>
      <w:t>-</w:t>
    </w:r>
    <w:r>
      <w:rPr>
        <w:rFonts w:hint="eastAsia" w:ascii="楷体" w:hAnsi="楷体" w:eastAsia="楷体" w:cs="楷体"/>
        <w:spacing w:val="-4"/>
        <w:sz w:val="18"/>
        <w:szCs w:val="18"/>
      </w:rPr>
      <w:t>成果报告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20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50CDF"/>
    <w:rsid w:val="03025949"/>
    <w:rsid w:val="05FD3735"/>
    <w:rsid w:val="065832CE"/>
    <w:rsid w:val="08E40E9C"/>
    <w:rsid w:val="09BB1C89"/>
    <w:rsid w:val="0EEC3721"/>
    <w:rsid w:val="1125737D"/>
    <w:rsid w:val="1679252C"/>
    <w:rsid w:val="16D54D03"/>
    <w:rsid w:val="180938B1"/>
    <w:rsid w:val="1BA539A1"/>
    <w:rsid w:val="245548D6"/>
    <w:rsid w:val="264439EB"/>
    <w:rsid w:val="35796DE6"/>
    <w:rsid w:val="36F57671"/>
    <w:rsid w:val="3E571C8E"/>
    <w:rsid w:val="3FA141F3"/>
    <w:rsid w:val="436B4D45"/>
    <w:rsid w:val="44B21596"/>
    <w:rsid w:val="5BEB770A"/>
    <w:rsid w:val="5CA61FE4"/>
    <w:rsid w:val="6CD4239B"/>
    <w:rsid w:val="6FEF512E"/>
    <w:rsid w:val="76B86E8E"/>
    <w:rsid w:val="7A6D2D01"/>
    <w:rsid w:val="7ABD2CC5"/>
    <w:rsid w:val="7EDB6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7"/>
    <w:qFormat/>
    <w:uiPriority w:val="0"/>
    <w:pPr>
      <w:keepNext/>
      <w:keepLines/>
      <w:spacing w:before="260" w:after="260" w:line="416"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3"/>
    <w:basedOn w:val="1"/>
    <w:qFormat/>
    <w:uiPriority w:val="0"/>
    <w:pPr>
      <w:jc w:val="center"/>
    </w:pPr>
    <w:rPr>
      <w:color w:val="auto"/>
      <w:kern w:val="2"/>
      <w:szCs w:val="24"/>
    </w:rPr>
  </w:style>
  <w:style w:type="paragraph" w:styleId="6">
    <w:name w:val="Body Text"/>
    <w:basedOn w:val="1"/>
    <w:next w:val="1"/>
    <w:qFormat/>
    <w:uiPriority w:val="0"/>
    <w:pPr>
      <w:spacing w:after="120"/>
    </w:pPr>
    <w:rPr>
      <w:rFonts w:ascii="Calibri" w:hAnsi="Calibri"/>
    </w:rPr>
  </w:style>
  <w:style w:type="paragraph" w:styleId="7">
    <w:name w:val="Body Text Indent"/>
    <w:basedOn w:val="1"/>
    <w:qFormat/>
    <w:uiPriority w:val="0"/>
    <w:pPr>
      <w:spacing w:after="120"/>
      <w:ind w:left="420" w:leftChars="200"/>
    </w:pPr>
  </w:style>
  <w:style w:type="paragraph" w:styleId="8">
    <w:name w:val="Plain Text"/>
    <w:basedOn w:val="1"/>
    <w:qFormat/>
    <w:uiPriority w:val="0"/>
    <w:pPr>
      <w:widowControl w:val="0"/>
      <w:jc w:val="both"/>
    </w:pPr>
    <w:rPr>
      <w:rFonts w:ascii="宋体" w:hAnsi="Courier New"/>
    </w:rPr>
  </w:style>
  <w:style w:type="paragraph" w:styleId="9">
    <w:name w:val="footer"/>
    <w:basedOn w:val="1"/>
    <w:qFormat/>
    <w:uiPriority w:val="0"/>
    <w:pPr>
      <w:tabs>
        <w:tab w:val="center" w:pos="4153"/>
        <w:tab w:val="right" w:pos="8306"/>
      </w:tabs>
      <w:snapToGrid w:val="0"/>
    </w:pPr>
    <w:rPr>
      <w:rFonts w:ascii="Calibri" w:hAnsi="Calibri"/>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11">
    <w:name w:val="toc 1"/>
    <w:basedOn w:val="1"/>
    <w:next w:val="1"/>
    <w:qFormat/>
    <w:uiPriority w:val="0"/>
    <w:pPr>
      <w:spacing w:before="120" w:after="120"/>
    </w:pPr>
    <w:rPr>
      <w:b/>
      <w:bCs/>
      <w:caps/>
    </w:rPr>
  </w:style>
  <w:style w:type="paragraph" w:styleId="12">
    <w:name w:val="toc 2"/>
    <w:basedOn w:val="1"/>
    <w:next w:val="1"/>
    <w:qFormat/>
    <w:uiPriority w:val="0"/>
    <w:pPr>
      <w:ind w:left="200"/>
    </w:pPr>
    <w:rPr>
      <w:smallCaps/>
    </w:rPr>
  </w:style>
  <w:style w:type="paragraph" w:styleId="13">
    <w:name w:val="Body Text First Indent 2"/>
    <w:basedOn w:val="7"/>
    <w:qFormat/>
    <w:uiPriority w:val="0"/>
    <w:pPr>
      <w:tabs>
        <w:tab w:val="left" w:pos="1050"/>
      </w:tabs>
      <w:ind w:firstLine="420"/>
    </w:pPr>
  </w:style>
  <w:style w:type="character" w:styleId="16">
    <w:name w:val="page number"/>
    <w:basedOn w:val="15"/>
    <w:qFormat/>
    <w:uiPriority w:val="0"/>
    <w:rPr>
      <w:rFonts w:cs="Times New Roman"/>
    </w:rPr>
  </w:style>
  <w:style w:type="character" w:customStyle="1" w:styleId="17">
    <w:name w:val="标题 3 Char"/>
    <w:link w:val="4"/>
    <w:autoRedefine/>
    <w:qFormat/>
    <w:uiPriority w:val="0"/>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8.wmf"/><Relationship Id="rId25" Type="http://schemas.openxmlformats.org/officeDocument/2006/relationships/oleObject" Target="embeddings/oleObject2.bin"/><Relationship Id="rId24" Type="http://schemas.openxmlformats.org/officeDocument/2006/relationships/image" Target="media/image7.wmf"/><Relationship Id="rId23" Type="http://schemas.openxmlformats.org/officeDocument/2006/relationships/oleObject" Target="embeddings/oleObject1.bin"/><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2991</Words>
  <Characters>3202</Characters>
  <Lines>0</Lines>
  <Paragraphs>0</Paragraphs>
  <TotalTime>6</TotalTime>
  <ScaleCrop>false</ScaleCrop>
  <LinksUpToDate>false</LinksUpToDate>
  <CharactersWithSpaces>3270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2025-09-12T10:58:00Z</dcterms:created>
  <dc:creator>Administrator</dc:creator>
  <cp:lastModifiedBy>羊羊.</cp:lastModifiedBy>
  <cp:lastPrinted>2026-01-05T03:06:00Z</cp:lastPrinted>
  <dcterms:modified xsi:type="dcterms:W3CDTF">2026-01-06T08:17:23Z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eyJoZGlkIjoiM2QzZjM3OGYzZDM1YzNkZmRhNDczMjcwM2YyODcxYzQiLCJ1c2VySWQiOiIyNjkxODg3NjgifQ==</vt:lpwstr>
  </property>
  <property fmtid="{D5CDD505-2E9C-101B-9397-08002B2CF9AE}" pid="4" name="ICV">
    <vt:lpwstr>CA1AEB4DC0B54B66A0FA71039EB1AD7E_12</vt:lpwstr>
  </property>
</Properties>
</file>