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rPr>
          <w:rFonts w:ascii="宋体" w:hAnsi="宋体" w:eastAsia="宋体"/>
          <w:b/>
          <w:bCs/>
          <w:sz w:val="28"/>
          <w:szCs w:val="28"/>
        </w:rPr>
      </w:pPr>
      <w:r>
        <w:rPr>
          <w:rFonts w:hint="eastAsia" w:ascii="宋体" w:hAnsi="宋体" w:eastAsia="宋体"/>
          <w:b/>
          <w:bCs/>
          <w:sz w:val="28"/>
          <w:szCs w:val="28"/>
        </w:rPr>
        <w:t>附件</w:t>
      </w:r>
    </w:p>
    <w:p>
      <w:pPr>
        <w:pStyle w:val="2"/>
        <w:spacing w:before="0" w:after="0" w:line="500" w:lineRule="exact"/>
        <w:ind w:firstLine="600" w:firstLineChars="200"/>
        <w:jc w:val="left"/>
        <w:rPr>
          <w:rFonts w:ascii="黑体" w:hAnsi="宋体"/>
          <w:b w:val="0"/>
          <w:szCs w:val="30"/>
        </w:rPr>
      </w:pPr>
      <w:r>
        <w:rPr>
          <w:rFonts w:hint="eastAsia" w:ascii="黑体" w:hAnsi="宋体"/>
          <w:b w:val="0"/>
          <w:szCs w:val="30"/>
        </w:rPr>
        <w:t>一、</w:t>
      </w:r>
      <w:r>
        <w:rPr>
          <w:rFonts w:hint="eastAsia" w:ascii="黑体" w:hAnsi="宋体"/>
          <w:b w:val="0"/>
          <w:szCs w:val="30"/>
          <w:lang w:val="en-US" w:eastAsia="zh-CN"/>
        </w:rPr>
        <w:t>磴口县巴彦高勒镇</w:t>
      </w:r>
      <w:r>
        <w:rPr>
          <w:rFonts w:hint="eastAsia" w:ascii="黑体" w:hAnsi="宋体"/>
          <w:b w:val="0"/>
          <w:szCs w:val="30"/>
        </w:rPr>
        <w:t xml:space="preserve">各类用地级别基准地价 </w:t>
      </w:r>
    </w:p>
    <w:p>
      <w:pPr>
        <w:keepNext w:val="0"/>
        <w:keepLines w:val="0"/>
        <w:pageBreakBefore w:val="0"/>
        <w:widowControl/>
        <w:kinsoku/>
        <w:wordWrap/>
        <w:overflowPunct/>
        <w:topLinePunct w:val="0"/>
        <w:autoSpaceDE/>
        <w:autoSpaceDN/>
        <w:bidi w:val="0"/>
        <w:adjustRightInd/>
        <w:snapToGrid/>
        <w:spacing w:before="136" w:beforeLines="50" w:line="240" w:lineRule="auto"/>
        <w:jc w:val="center"/>
        <w:textAlignment w:val="auto"/>
        <w:rPr>
          <w:rFonts w:hint="eastAsia" w:ascii="仿宋_GB2312" w:hAnsi="宋体" w:eastAsia="仿宋_GB2312"/>
          <w:b/>
          <w:sz w:val="24"/>
          <w:lang w:val="en-US" w:eastAsia="zh-CN"/>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表1-1   巴彦高勒镇各类用地基准地价表</w:t>
      </w:r>
    </w:p>
    <w:tbl>
      <w:tblPr>
        <w:tblStyle w:val="8"/>
        <w:tblW w:w="90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9"/>
        <w:gridCol w:w="1902"/>
        <w:gridCol w:w="2066"/>
        <w:gridCol w:w="2066"/>
        <w:gridCol w:w="20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39"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行政区</w:t>
            </w:r>
          </w:p>
        </w:tc>
        <w:tc>
          <w:tcPr>
            <w:tcW w:w="1902" w:type="dxa"/>
            <w:tcBorders>
              <w:top w:val="single" w:color="000000" w:sz="8" w:space="0"/>
              <w:left w:val="nil"/>
              <w:bottom w:val="nil"/>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用地类型</w:t>
            </w:r>
          </w:p>
        </w:tc>
        <w:tc>
          <w:tcPr>
            <w:tcW w:w="2066" w:type="dxa"/>
            <w:tcBorders>
              <w:top w:val="single" w:color="000000" w:sz="8" w:space="0"/>
              <w:left w:val="nil"/>
              <w:bottom w:val="nil"/>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级别</w:t>
            </w:r>
          </w:p>
        </w:tc>
        <w:tc>
          <w:tcPr>
            <w:tcW w:w="2066" w:type="dxa"/>
            <w:tcBorders>
              <w:top w:val="single" w:color="000000" w:sz="8" w:space="0"/>
              <w:left w:val="nil"/>
              <w:bottom w:val="nil"/>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地价（元/平方米）</w:t>
            </w:r>
          </w:p>
        </w:tc>
        <w:tc>
          <w:tcPr>
            <w:tcW w:w="2067" w:type="dxa"/>
            <w:tcBorders>
              <w:top w:val="single" w:color="000000" w:sz="8" w:space="0"/>
              <w:left w:val="nil"/>
              <w:bottom w:val="nil"/>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地价（万元/亩）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restart"/>
            <w:tcBorders>
              <w:top w:val="single" w:color="000000" w:sz="8" w:space="0"/>
              <w:left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巴</w:t>
            </w:r>
          </w:p>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彦</w:t>
            </w:r>
          </w:p>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w:t>
            </w:r>
          </w:p>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勒</w:t>
            </w:r>
          </w:p>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镇</w:t>
            </w:r>
          </w:p>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　　</w:t>
            </w:r>
          </w:p>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　</w:t>
            </w:r>
          </w:p>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　　</w:t>
            </w:r>
          </w:p>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　　</w:t>
            </w:r>
          </w:p>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　　</w:t>
            </w:r>
          </w:p>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　　</w:t>
            </w:r>
          </w:p>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　　</w:t>
            </w:r>
          </w:p>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　　</w:t>
            </w:r>
          </w:p>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　　</w:t>
            </w:r>
          </w:p>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　　</w:t>
            </w:r>
          </w:p>
        </w:tc>
        <w:tc>
          <w:tcPr>
            <w:tcW w:w="1902" w:type="dxa"/>
            <w:vMerge w:val="restart"/>
            <w:tcBorders>
              <w:top w:val="single" w:color="000000" w:sz="8" w:space="0"/>
              <w:left w:val="nil"/>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商业服务业用地</w:t>
            </w:r>
          </w:p>
        </w:tc>
        <w:tc>
          <w:tcPr>
            <w:tcW w:w="206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Ⅰ</w:t>
            </w:r>
          </w:p>
        </w:tc>
        <w:tc>
          <w:tcPr>
            <w:tcW w:w="206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690</w:t>
            </w:r>
          </w:p>
        </w:tc>
        <w:tc>
          <w:tcPr>
            <w:tcW w:w="2067"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left w:val="nil"/>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Ⅱ</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560</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37.33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left w:val="nil"/>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Style w:val="16"/>
                <w:rFonts w:hint="eastAsia" w:ascii="宋体" w:hAnsi="宋体" w:eastAsia="宋体" w:cs="宋体"/>
                <w:sz w:val="21"/>
                <w:szCs w:val="21"/>
                <w:lang w:val="en-US" w:eastAsia="zh-CN" w:bidi="ar"/>
              </w:rPr>
              <w:t>Ⅲ</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372</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left w:val="nil"/>
              <w:bottom w:val="nil"/>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Style w:val="16"/>
                <w:rFonts w:hint="eastAsia" w:ascii="宋体" w:hAnsi="宋体" w:eastAsia="宋体" w:cs="宋体"/>
                <w:sz w:val="21"/>
                <w:szCs w:val="21"/>
                <w:lang w:val="en-US" w:eastAsia="zh-CN" w:bidi="ar"/>
              </w:rPr>
            </w:pPr>
            <w:r>
              <w:rPr>
                <w:rStyle w:val="16"/>
                <w:rFonts w:hint="eastAsia" w:ascii="宋体" w:hAnsi="宋体" w:eastAsia="宋体" w:cs="宋体"/>
                <w:sz w:val="21"/>
                <w:szCs w:val="21"/>
                <w:lang w:val="en-US" w:eastAsia="zh-CN" w:bidi="ar"/>
              </w:rPr>
              <w:t>IV</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265</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17.67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restart"/>
            <w:tcBorders>
              <w:top w:val="single" w:color="000000" w:sz="8" w:space="0"/>
              <w:left w:val="nil"/>
              <w:bottom w:val="nil"/>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居住用地</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Ⅰ</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395</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26.33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top w:val="single" w:color="000000" w:sz="8" w:space="0"/>
              <w:left w:val="nil"/>
              <w:bottom w:val="nil"/>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Ⅱ</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332</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22.13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top w:val="single" w:color="000000" w:sz="8" w:space="0"/>
              <w:left w:val="nil"/>
              <w:bottom w:val="nil"/>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Style w:val="16"/>
                <w:rFonts w:hint="eastAsia" w:ascii="宋体" w:hAnsi="宋体" w:eastAsia="宋体" w:cs="宋体"/>
                <w:sz w:val="21"/>
                <w:szCs w:val="21"/>
                <w:lang w:val="en-US" w:eastAsia="zh-CN" w:bidi="ar"/>
              </w:rPr>
              <w:t>Ⅲ</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restart"/>
            <w:tcBorders>
              <w:top w:val="single" w:color="000000" w:sz="8" w:space="0"/>
              <w:left w:val="nil"/>
              <w:bottom w:val="nil"/>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工矿用地</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Ⅰ</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172</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11.47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top w:val="single" w:color="000000" w:sz="8" w:space="0"/>
              <w:left w:val="nil"/>
              <w:bottom w:val="nil"/>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Ⅱ</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8.67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top w:val="single" w:color="000000" w:sz="8" w:space="0"/>
              <w:left w:val="nil"/>
              <w:bottom w:val="nil"/>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Style w:val="16"/>
                <w:rFonts w:hint="eastAsia" w:ascii="宋体" w:hAnsi="宋体" w:eastAsia="宋体" w:cs="宋体"/>
                <w:sz w:val="21"/>
                <w:szCs w:val="21"/>
                <w:lang w:val="en-US" w:eastAsia="zh-CN" w:bidi="ar"/>
              </w:rPr>
              <w:t>Ⅲ</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78</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5.20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restart"/>
            <w:tcBorders>
              <w:top w:val="single" w:color="000000" w:sz="8" w:space="0"/>
              <w:left w:val="nil"/>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公共管理与公共服务用地</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Ⅰ</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330</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left w:val="nil"/>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Ⅱ</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277</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left w:val="nil"/>
              <w:bottom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Style w:val="16"/>
                <w:rFonts w:hint="eastAsia" w:ascii="宋体" w:hAnsi="宋体" w:eastAsia="宋体" w:cs="宋体"/>
                <w:sz w:val="21"/>
                <w:szCs w:val="21"/>
                <w:lang w:val="en-US" w:eastAsia="zh-CN" w:bidi="ar"/>
              </w:rPr>
              <w:t>Ⅲ</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176</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restart"/>
            <w:tcBorders>
              <w:top w:val="nil"/>
              <w:left w:val="nil"/>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公用设施用地</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Ⅰ</w:t>
            </w:r>
          </w:p>
        </w:tc>
        <w:tc>
          <w:tcPr>
            <w:tcW w:w="2066"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165</w:t>
            </w:r>
          </w:p>
        </w:tc>
        <w:tc>
          <w:tcPr>
            <w:tcW w:w="2067" w:type="dxa"/>
            <w:tcBorders>
              <w:top w:val="nil"/>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939" w:type="dxa"/>
            <w:vMerge w:val="continue"/>
            <w:tcBorders>
              <w:left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left w:val="nil"/>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nil"/>
              <w:left w:val="nil"/>
              <w:bottom w:val="single" w:color="auto" w:sz="4"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Ⅱ</w:t>
            </w:r>
          </w:p>
        </w:tc>
        <w:tc>
          <w:tcPr>
            <w:tcW w:w="2066" w:type="dxa"/>
            <w:tcBorders>
              <w:top w:val="nil"/>
              <w:left w:val="nil"/>
              <w:bottom w:val="single" w:color="auto" w:sz="4"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125</w:t>
            </w:r>
          </w:p>
        </w:tc>
        <w:tc>
          <w:tcPr>
            <w:tcW w:w="2067" w:type="dxa"/>
            <w:tcBorders>
              <w:top w:val="nil"/>
              <w:left w:val="nil"/>
              <w:bottom w:val="single" w:color="auto" w:sz="4"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939" w:type="dxa"/>
            <w:vMerge w:val="continue"/>
            <w:tcBorders>
              <w:left w:val="single" w:color="000000" w:sz="8" w:space="0"/>
              <w:bottom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1902" w:type="dxa"/>
            <w:vMerge w:val="continue"/>
            <w:tcBorders>
              <w:left w:val="nil"/>
              <w:bottom w:val="single" w:color="000000" w:sz="8" w:space="0"/>
              <w:right w:val="single" w:color="000000" w:sz="8"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宋体"/>
                <w:i w:val="0"/>
                <w:iCs w:val="0"/>
                <w:color w:val="000000"/>
                <w:sz w:val="21"/>
                <w:szCs w:val="21"/>
                <w:u w:val="none"/>
                <w:lang w:eastAsia="zh-CN"/>
              </w:rPr>
            </w:pPr>
          </w:p>
        </w:tc>
        <w:tc>
          <w:tcPr>
            <w:tcW w:w="2066"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Style w:val="16"/>
                <w:rFonts w:hint="eastAsia" w:ascii="宋体" w:hAnsi="宋体" w:eastAsia="宋体" w:cs="宋体"/>
                <w:sz w:val="21"/>
                <w:szCs w:val="21"/>
                <w:lang w:val="en-US" w:eastAsia="zh-CN" w:bidi="ar"/>
              </w:rPr>
              <w:t>Ⅲ</w:t>
            </w:r>
          </w:p>
        </w:tc>
        <w:tc>
          <w:tcPr>
            <w:tcW w:w="2066"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75</w:t>
            </w:r>
          </w:p>
        </w:tc>
        <w:tc>
          <w:tcPr>
            <w:tcW w:w="2067"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r>
    </w:tbl>
    <w:p>
      <w:pPr>
        <w:pStyle w:val="2"/>
        <w:numPr>
          <w:ilvl w:val="0"/>
          <w:numId w:val="0"/>
        </w:numPr>
        <w:spacing w:before="0" w:after="0" w:line="500" w:lineRule="exact"/>
        <w:jc w:val="left"/>
        <w:rPr>
          <w:rFonts w:hint="eastAsia" w:ascii="黑体" w:hAnsi="宋体"/>
          <w:b w:val="0"/>
          <w:szCs w:val="30"/>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pStyle w:val="2"/>
        <w:numPr>
          <w:ilvl w:val="0"/>
          <w:numId w:val="0"/>
        </w:numPr>
        <w:spacing w:before="0" w:after="0" w:line="500" w:lineRule="exact"/>
        <w:jc w:val="left"/>
        <w:rPr>
          <w:rFonts w:hint="eastAsia" w:ascii="黑体" w:hAnsi="宋体"/>
          <w:b w:val="0"/>
          <w:szCs w:val="30"/>
          <w:lang w:val="en-US" w:eastAsia="zh-CN"/>
        </w:rPr>
      </w:pPr>
      <w:r>
        <w:rPr>
          <w:rFonts w:hint="eastAsia" w:ascii="黑体" w:hAnsi="宋体"/>
          <w:b w:val="0"/>
          <w:szCs w:val="30"/>
          <w:lang w:val="en-US" w:eastAsia="zh-CN"/>
        </w:rPr>
        <w:t>二、</w:t>
      </w:r>
      <w:r>
        <w:rPr>
          <w:rFonts w:hint="eastAsia" w:ascii="黑体" w:hAnsi="宋体"/>
          <w:b w:val="0"/>
          <w:szCs w:val="30"/>
        </w:rPr>
        <w:t>基准地价</w:t>
      </w:r>
      <w:r>
        <w:rPr>
          <w:rFonts w:hint="eastAsia" w:ascii="黑体" w:hAnsi="宋体"/>
          <w:b w:val="0"/>
          <w:szCs w:val="30"/>
          <w:lang w:val="en-US" w:eastAsia="zh-CN"/>
        </w:rPr>
        <w:t>内涵说明</w:t>
      </w:r>
    </w:p>
    <w:p>
      <w:pPr>
        <w:adjustRightInd w:val="0"/>
        <w:snapToGrid w:val="0"/>
        <w:spacing w:line="360" w:lineRule="auto"/>
        <w:ind w:firstLine="0" w:firstLineChars="0"/>
        <w:rPr>
          <w:rFonts w:hint="eastAsia" w:ascii="仿宋_GB2312" w:hAnsi="仿宋" w:eastAsia="仿宋_GB2312"/>
          <w:sz w:val="24"/>
          <w:szCs w:val="24"/>
          <w:lang w:val="en-US" w:eastAsia="zh-CN"/>
        </w:rPr>
      </w:pPr>
      <w:r>
        <w:rPr>
          <w:rFonts w:hint="eastAsia" w:ascii="仿宋_GB2312" w:hAnsi="仿宋" w:eastAsia="仿宋_GB2312"/>
          <w:sz w:val="24"/>
          <w:szCs w:val="24"/>
          <w:lang w:val="en-US" w:eastAsia="zh-CN"/>
        </w:rPr>
        <w:t xml:space="preserve"> </w:t>
      </w:r>
    </w:p>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表2-1巴彦高勒镇基准地价内涵说明</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suppressLineNumbers w:val="0"/>
              <w:adjustRightInd w:val="0"/>
              <w:snapToGrid w:val="0"/>
              <w:spacing w:before="0" w:beforeAutospacing="0" w:after="0" w:afterAutospacing="0" w:line="360" w:lineRule="auto"/>
              <w:ind w:left="0" w:right="0" w:firstLine="560" w:firstLineChars="200"/>
              <w:jc w:val="left"/>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本次制定的基准地价为磴口县巴彦高勒镇3885.80公顷范围内，按用途在以下设定条件下的土地使用权平均价格：</w:t>
            </w:r>
          </w:p>
          <w:p>
            <w:pPr>
              <w:keepNext w:val="0"/>
              <w:keepLines w:val="0"/>
              <w:suppressLineNumbers w:val="0"/>
              <w:adjustRightInd w:val="0"/>
              <w:snapToGrid w:val="0"/>
              <w:spacing w:before="0" w:beforeAutospacing="0" w:after="0" w:afterAutospacing="0" w:line="360" w:lineRule="auto"/>
              <w:ind w:left="0" w:right="0" w:firstLine="0" w:firstLineChars="0"/>
              <w:jc w:val="left"/>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1、评估期日：本次评估期日为2024年1月1日；</w:t>
            </w:r>
          </w:p>
          <w:p>
            <w:pPr>
              <w:keepNext w:val="0"/>
              <w:keepLines w:val="0"/>
              <w:suppressLineNumbers w:val="0"/>
              <w:adjustRightInd w:val="0"/>
              <w:snapToGrid w:val="0"/>
              <w:spacing w:before="0" w:beforeAutospacing="0" w:after="0" w:afterAutospacing="0" w:line="360" w:lineRule="auto"/>
              <w:ind w:left="0" w:right="0" w:firstLine="0" w:firstLineChars="0"/>
              <w:jc w:val="left"/>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2、权利状况：土地权利状况为国有出让土地使用权；</w:t>
            </w:r>
          </w:p>
          <w:p>
            <w:pPr>
              <w:keepNext w:val="0"/>
              <w:keepLines w:val="0"/>
              <w:suppressLineNumbers w:val="0"/>
              <w:adjustRightInd w:val="0"/>
              <w:snapToGrid w:val="0"/>
              <w:spacing w:before="0" w:beforeAutospacing="0" w:after="0" w:afterAutospacing="0" w:line="360" w:lineRule="auto"/>
              <w:ind w:left="0" w:right="0" w:firstLine="0" w:firstLineChars="0"/>
              <w:jc w:val="left"/>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3、土地使用年期：土地使用年期按法定最高出让年限设定，即商业服务业用地40年、居住用地70年、工矿用地50年、公共管理与公共服务用地50年、公用设施用地50年；</w:t>
            </w:r>
          </w:p>
          <w:p>
            <w:pPr>
              <w:keepNext w:val="0"/>
              <w:keepLines w:val="0"/>
              <w:suppressLineNumbers w:val="0"/>
              <w:adjustRightInd w:val="0"/>
              <w:snapToGrid w:val="0"/>
              <w:spacing w:before="0" w:beforeAutospacing="0" w:after="0" w:afterAutospacing="0" w:line="360" w:lineRule="auto"/>
              <w:ind w:left="0" w:right="0" w:firstLine="0" w:firstLineChars="0"/>
              <w:jc w:val="left"/>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4、土地开发程度：商业服务业用地、居住用地、公共管理与公共服务用地设定土地开发程度为 “七通一平” （宗地红线外通路、通电、通讯、通上水、通下水、通暖、通燃气和宗地内场地平整）。工矿用地、公用设施用地设定土地开发程度为 “五通一平” （宗地红线外通路、通电、通讯、通上水、通下水和宗地内场地平整）。</w:t>
            </w:r>
          </w:p>
          <w:p>
            <w:pPr>
              <w:keepNext w:val="0"/>
              <w:keepLines w:val="0"/>
              <w:suppressLineNumbers w:val="0"/>
              <w:adjustRightInd w:val="0"/>
              <w:snapToGrid w:val="0"/>
              <w:spacing w:before="0" w:beforeAutospacing="0" w:after="0" w:afterAutospacing="0" w:line="360" w:lineRule="auto"/>
              <w:ind w:left="0" w:right="0" w:firstLine="0" w:firstLineChars="0"/>
              <w:jc w:val="left"/>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5、容积率：根据测算确定各用途设定容积率，商业服务业用地1.8、居住用地、公共管理与公共服务用地1.5、工矿用地、公用设施用地0.8；</w:t>
            </w:r>
          </w:p>
          <w:p>
            <w:pPr>
              <w:keepNext w:val="0"/>
              <w:keepLines w:val="0"/>
              <w:suppressLineNumbers w:val="0"/>
              <w:adjustRightInd w:val="0"/>
              <w:snapToGrid w:val="0"/>
              <w:spacing w:before="0" w:beforeAutospacing="0" w:after="0" w:afterAutospacing="0" w:line="360" w:lineRule="auto"/>
              <w:ind w:left="0" w:right="0" w:firstLine="0" w:firstLineChars="0"/>
              <w:jc w:val="left"/>
              <w:rPr>
                <w:rFonts w:hint="default"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6、其他条件为宗地地价修正系数表中的“一般”条件。</w:t>
            </w:r>
          </w:p>
        </w:tc>
      </w:tr>
    </w:tbl>
    <w:p>
      <w:pPr>
        <w:jc w:val="both"/>
        <w:rPr>
          <w:rFonts w:ascii="宋体" w:hAnsi="宋体" w:eastAsia="宋体"/>
          <w:sz w:val="28"/>
          <w:szCs w:val="32"/>
        </w:rPr>
        <w:sectPr>
          <w:pgSz w:w="11906" w:h="16838"/>
          <w:pgMar w:top="1440" w:right="1800" w:bottom="1440" w:left="1800" w:header="851" w:footer="992" w:gutter="0"/>
          <w:pgNumType w:fmt="decimal"/>
          <w:cols w:space="425" w:num="1"/>
          <w:docGrid w:type="lines" w:linePitch="312" w:charSpace="0"/>
        </w:sectPr>
      </w:pPr>
    </w:p>
    <w:p>
      <w:pPr>
        <w:pStyle w:val="2"/>
        <w:numPr>
          <w:ilvl w:val="0"/>
          <w:numId w:val="1"/>
        </w:numPr>
        <w:spacing w:before="0" w:after="0" w:line="500" w:lineRule="exact"/>
        <w:jc w:val="left"/>
        <w:rPr>
          <w:rFonts w:hint="eastAsia" w:ascii="黑体" w:hAnsi="宋体"/>
          <w:b w:val="0"/>
          <w:szCs w:val="30"/>
          <w:lang w:val="en-US" w:eastAsia="zh-CN"/>
        </w:rPr>
      </w:pPr>
      <w:r>
        <w:rPr>
          <w:rFonts w:hint="eastAsia" w:ascii="黑体" w:hAnsi="宋体"/>
          <w:b w:val="0"/>
          <w:szCs w:val="30"/>
          <w:lang w:val="en-US" w:eastAsia="zh-CN"/>
        </w:rPr>
        <w:t>基准地价影响因素指标说明表及修正系数表</w:t>
      </w:r>
    </w:p>
    <w:p>
      <w:pPr>
        <w:widowControl w:val="0"/>
        <w:numPr>
          <w:ilvl w:val="0"/>
          <w:numId w:val="0"/>
        </w:numPr>
        <w:jc w:val="both"/>
        <w:rPr>
          <w:rFonts w:hint="default"/>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ind w:firstLine="0" w:firstLineChars="0"/>
        <w:textAlignment w:val="auto"/>
        <w:rPr>
          <w:rFonts w:hint="default" w:ascii="仿宋_GB2312" w:hAnsi="宋体" w:eastAsia="仿宋_GB2312"/>
          <w:b w:val="0"/>
          <w:bCs/>
          <w:sz w:val="28"/>
          <w:szCs w:val="28"/>
          <w:highlight w:val="none"/>
          <w:lang w:val="en-US" w:eastAsia="zh-CN"/>
        </w:rPr>
      </w:pPr>
      <w:r>
        <w:rPr>
          <w:rFonts w:hint="default" w:ascii="仿宋_GB2312" w:hAnsi="宋体" w:eastAsia="仿宋_GB2312"/>
          <w:b w:val="0"/>
          <w:bCs/>
          <w:sz w:val="28"/>
          <w:szCs w:val="28"/>
          <w:highlight w:val="none"/>
          <w:lang w:val="en-US" w:eastAsia="zh-CN"/>
        </w:rPr>
        <w:t>（1）商业服务业用地地价影响因素指标说明表及修正系数表</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sz w:val="24"/>
          <w:szCs w:val="24"/>
        </w:rPr>
      </w:pPr>
      <w:r>
        <w:rPr>
          <w:rFonts w:hint="eastAsia" w:ascii="仿宋_GB2312" w:hAnsi="宋体" w:eastAsia="仿宋_GB2312"/>
          <w:b/>
          <w:sz w:val="24"/>
          <w:szCs w:val="24"/>
        </w:rPr>
        <w:t>表</w:t>
      </w:r>
      <w:r>
        <w:rPr>
          <w:rFonts w:hint="eastAsia" w:ascii="仿宋_GB2312" w:hAnsi="宋体" w:eastAsia="仿宋_GB2312"/>
          <w:b/>
          <w:sz w:val="24"/>
          <w:szCs w:val="24"/>
          <w:lang w:val="en-US" w:eastAsia="zh-CN"/>
        </w:rPr>
        <w:t>3-1</w:t>
      </w:r>
      <w:r>
        <w:rPr>
          <w:rFonts w:hint="eastAsia" w:ascii="仿宋_GB2312" w:hAnsi="宋体" w:eastAsia="仿宋_GB2312"/>
          <w:b/>
          <w:sz w:val="24"/>
          <w:szCs w:val="24"/>
        </w:rPr>
        <w:t xml:space="preserve"> Ⅰ级</w:t>
      </w:r>
      <w:r>
        <w:rPr>
          <w:rFonts w:hint="eastAsia" w:ascii="仿宋_GB2312" w:hAnsi="宋体" w:eastAsia="仿宋_GB2312"/>
          <w:b/>
          <w:sz w:val="24"/>
          <w:szCs w:val="24"/>
          <w:lang w:eastAsia="zh-CN"/>
        </w:rPr>
        <w:t>商业服务业用地</w:t>
      </w:r>
      <w:r>
        <w:rPr>
          <w:rFonts w:hint="eastAsia" w:ascii="仿宋_GB2312" w:hAnsi="宋体" w:eastAsia="仿宋_GB2312"/>
          <w:b/>
          <w:sz w:val="24"/>
          <w:szCs w:val="24"/>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546"/>
        <w:gridCol w:w="1488"/>
        <w:gridCol w:w="1348"/>
        <w:gridCol w:w="1402"/>
        <w:gridCol w:w="1345"/>
        <w:gridCol w:w="1397"/>
        <w:gridCol w:w="1195"/>
      </w:tblGrid>
      <w:tr>
        <w:tblPrEx>
          <w:tblCellMar>
            <w:top w:w="0" w:type="dxa"/>
            <w:left w:w="108" w:type="dxa"/>
            <w:bottom w:w="0" w:type="dxa"/>
            <w:right w:w="108" w:type="dxa"/>
          </w:tblCellMar>
        </w:tblPrEx>
        <w:trPr>
          <w:trHeight w:val="283" w:hRule="atLeast"/>
          <w:jc w:val="center"/>
        </w:trPr>
        <w:tc>
          <w:tcPr>
            <w:tcW w:w="203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影响因素</w:t>
            </w:r>
          </w:p>
        </w:tc>
        <w:tc>
          <w:tcPr>
            <w:tcW w:w="134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优</w:t>
            </w:r>
          </w:p>
        </w:tc>
        <w:tc>
          <w:tcPr>
            <w:tcW w:w="140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较优</w:t>
            </w:r>
          </w:p>
        </w:tc>
        <w:tc>
          <w:tcPr>
            <w:tcW w:w="13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一般</w:t>
            </w:r>
          </w:p>
        </w:tc>
        <w:tc>
          <w:tcPr>
            <w:tcW w:w="139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较劣</w:t>
            </w:r>
          </w:p>
        </w:tc>
        <w:tc>
          <w:tcPr>
            <w:tcW w:w="11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劣</w:t>
            </w:r>
          </w:p>
        </w:tc>
      </w:tr>
      <w:tr>
        <w:tblPrEx>
          <w:tblCellMar>
            <w:top w:w="0" w:type="dxa"/>
            <w:left w:w="108" w:type="dxa"/>
            <w:bottom w:w="0" w:type="dxa"/>
            <w:right w:w="108" w:type="dxa"/>
          </w:tblCellMar>
        </w:tblPrEx>
        <w:trPr>
          <w:trHeight w:val="283" w:hRule="atLeast"/>
          <w:jc w:val="center"/>
        </w:trPr>
        <w:tc>
          <w:tcPr>
            <w:tcW w:w="546"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r>
              <w:rPr>
                <w:rFonts w:hint="eastAsia" w:ascii="仿宋_GB2312" w:hAnsi="宋体" w:eastAsia="仿宋_GB2312" w:cs="Times New Roman"/>
                <w:sz w:val="15"/>
                <w:szCs w:val="15"/>
                <w:lang w:val="en-US" w:eastAsia="zh-CN"/>
              </w:rPr>
              <w:t>区域因素</w:t>
            </w: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道路类型</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混合型主干道</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生活型主干道</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交通型主干道</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次干道</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支路</w:t>
            </w:r>
          </w:p>
        </w:tc>
      </w:tr>
      <w:tr>
        <w:tblPrEx>
          <w:tblCellMar>
            <w:top w:w="0" w:type="dxa"/>
            <w:left w:w="108" w:type="dxa"/>
            <w:bottom w:w="0" w:type="dxa"/>
            <w:right w:w="108" w:type="dxa"/>
          </w:tblCellMar>
        </w:tblPrEx>
        <w:trPr>
          <w:trHeight w:val="227"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交通便捷度</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r>
              <w:rPr>
                <w:rFonts w:hint="eastAsia" w:ascii="仿宋_GB2312" w:hAnsi="宋体" w:eastAsia="仿宋_GB2312" w:cs="Times New Roman"/>
                <w:sz w:val="15"/>
                <w:szCs w:val="15"/>
                <w:lang w:val="en-US" w:eastAsia="zh-CN"/>
              </w:rPr>
              <w:t>道路交通运行顺畅、车辆可以自由行驶、乘客舒适程度较高</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r>
              <w:rPr>
                <w:rFonts w:hint="eastAsia" w:ascii="仿宋_GB2312" w:hAnsi="宋体" w:eastAsia="仿宋_GB2312" w:cs="Times New Roman"/>
                <w:sz w:val="15"/>
                <w:szCs w:val="15"/>
                <w:lang w:val="en-US" w:eastAsia="zh-CN"/>
              </w:rPr>
              <w:t>车辆可以较高速行驶、乘客舒适程度较高</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r>
              <w:rPr>
                <w:rFonts w:hint="eastAsia" w:ascii="仿宋_GB2312" w:hAnsi="宋体" w:eastAsia="仿宋_GB2312" w:cs="Times New Roman"/>
                <w:sz w:val="15"/>
                <w:szCs w:val="15"/>
                <w:lang w:val="en-US" w:eastAsia="zh-CN"/>
              </w:rPr>
              <w:t>道路交通流量较大、车速较慢、且交通处于不稳定流状态</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道路交通流量较大、车速慢、且交通处于停滞流状态</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供水</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集中供水充足、保证率98%以上</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集中供水较充足、保证率98%-95%</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集中供水基本充足、保证率90%-95%</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集中供水保证率低、保证率90%以下</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无集中供水</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排水</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有雨排和污排且通畅</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有雨排和污排基本通畅</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只有污排</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只有雨排</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无排水系统</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供暖</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位于主管道两侧</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距主管道100米以内</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距主管道200米以内</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位于支线管道两侧</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无集中供热</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人口密度（人/平方千米）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[400-500)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[300-400)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[200-300)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距商服中心距离（米）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[100-300)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[300-500)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[500-800)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≥800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汽</w:t>
            </w:r>
            <w:r>
              <w:rPr>
                <w:rFonts w:hint="eastAsia" w:ascii="仿宋_GB2312" w:hAnsi="宋体" w:eastAsia="仿宋_GB2312" w:cs="Times New Roman"/>
                <w:sz w:val="15"/>
                <w:szCs w:val="15"/>
                <w:lang w:eastAsia="zh-CN"/>
              </w:rPr>
              <w:t>车站距离（米）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＜500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[500-1000)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[1000-1500)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[1500-2000)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＞2000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火</w:t>
            </w:r>
            <w:r>
              <w:rPr>
                <w:rFonts w:hint="eastAsia" w:ascii="仿宋_GB2312" w:hAnsi="宋体" w:eastAsia="仿宋_GB2312" w:cs="Times New Roman"/>
                <w:sz w:val="15"/>
                <w:szCs w:val="15"/>
                <w:lang w:eastAsia="zh-CN"/>
              </w:rPr>
              <w:t>车站距离（米）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500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[500,1000)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[1000,1500)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[1500,2500)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≥2500</w:t>
            </w:r>
          </w:p>
        </w:tc>
      </w:tr>
      <w:tr>
        <w:tblPrEx>
          <w:tblCellMar>
            <w:top w:w="0" w:type="dxa"/>
            <w:left w:w="108" w:type="dxa"/>
            <w:bottom w:w="0" w:type="dxa"/>
            <w:right w:w="108" w:type="dxa"/>
          </w:tblCellMar>
        </w:tblPrEx>
        <w:trPr>
          <w:trHeight w:val="283" w:hRule="atLeast"/>
          <w:jc w:val="center"/>
        </w:trPr>
        <w:tc>
          <w:tcPr>
            <w:tcW w:w="546"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个别</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因素</w:t>
            </w: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形状有利于土地利用</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形状较规则，不影响土地利用</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土地形状不规则，但利用正常</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形状不规则，对利用有影响</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形状不规则，对土地利用影响大</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宗地面积</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面积大小特别适于土地利用类型</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面积大小较适于土地利用类型</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面积大小对土地利用无影响</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相对土地利用类型偏大或偏小</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面积大小不适合土地利用类型</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宗地临街道路等级与通达性</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两面临主干道</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两面临街、其中一面邻主干道</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一面临主干道或两面临次干道</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一面临次干道或支路</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不临街</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临街宽度（米）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[10-15)</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[6-10)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[3-6)</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临街深度（米）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[6-10)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[10-12)</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[12-15)</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3-2</w:t>
      </w:r>
      <w:r>
        <w:rPr>
          <w:rFonts w:hint="eastAsia" w:ascii="仿宋_GB2312" w:hAnsi="宋体" w:eastAsia="仿宋_GB2312"/>
          <w:b/>
          <w:sz w:val="24"/>
        </w:rPr>
        <w:t xml:space="preserve">   Ⅰ级</w:t>
      </w:r>
      <w:r>
        <w:rPr>
          <w:rFonts w:hint="eastAsia" w:ascii="仿宋_GB2312" w:hAnsi="宋体" w:eastAsia="仿宋_GB2312"/>
          <w:b/>
          <w:sz w:val="24"/>
          <w:lang w:eastAsia="zh-CN"/>
        </w:rPr>
        <w:t>商业服务业用地</w:t>
      </w:r>
      <w:r>
        <w:rPr>
          <w:rFonts w:hint="eastAsia" w:ascii="仿宋_GB2312" w:hAnsi="宋体" w:eastAsia="仿宋_GB2312"/>
          <w:b/>
          <w:sz w:val="24"/>
        </w:rPr>
        <w:t>地价区位因素及个别因素修正系数表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8"/>
        <w:gridCol w:w="1200"/>
        <w:gridCol w:w="1101"/>
        <w:gridCol w:w="1101"/>
        <w:gridCol w:w="1101"/>
        <w:gridCol w:w="11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因子</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300" w:firstLineChars="200"/>
              <w:jc w:val="both"/>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道路类型</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0.09</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交通便捷度</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供水</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排水</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供暖</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人口密度</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Times New Roman"/>
                <w:sz w:val="15"/>
                <w:szCs w:val="15"/>
                <w:lang w:eastAsia="zh-CN"/>
              </w:rPr>
              <w:t>距商服中心距离</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0.13</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0.0217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-0.0264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汽</w:t>
            </w:r>
            <w:r>
              <w:rPr>
                <w:rFonts w:hint="eastAsia" w:ascii="仿宋_GB2312" w:hAnsi="宋体" w:eastAsia="仿宋_GB2312" w:cs="Times New Roman"/>
                <w:sz w:val="15"/>
                <w:szCs w:val="15"/>
                <w:lang w:eastAsia="zh-CN"/>
              </w:rPr>
              <w:t>车站距离</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0</w:t>
            </w:r>
            <w:r>
              <w:rPr>
                <w:rFonts w:hint="default" w:ascii="仿宋_GB2312" w:hAnsi="宋体" w:eastAsia="仿宋_GB2312" w:cs="仿宋_GB2312"/>
                <w:i w:val="0"/>
                <w:iCs w:val="0"/>
                <w:color w:val="000000"/>
                <w:kern w:val="0"/>
                <w:sz w:val="15"/>
                <w:szCs w:val="15"/>
                <w:u w:val="none"/>
                <w:lang w:val="en-US" w:eastAsia="zh-CN" w:bidi="ar"/>
              </w:rPr>
              <w:t xml:space="preserve">.0000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火</w:t>
            </w:r>
            <w:r>
              <w:rPr>
                <w:rFonts w:hint="eastAsia" w:ascii="仿宋_GB2312" w:hAnsi="宋体" w:eastAsia="仿宋_GB2312" w:cs="Times New Roman"/>
                <w:sz w:val="15"/>
                <w:szCs w:val="15"/>
                <w:lang w:eastAsia="zh-CN"/>
              </w:rPr>
              <w:t>车站距离</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0</w:t>
            </w:r>
            <w:r>
              <w:rPr>
                <w:rFonts w:hint="default" w:ascii="仿宋_GB2312" w:hAnsi="宋体" w:eastAsia="仿宋_GB2312" w:cs="仿宋_GB2312"/>
                <w:i w:val="0"/>
                <w:iCs w:val="0"/>
                <w:color w:val="000000"/>
                <w:kern w:val="0"/>
                <w:sz w:val="15"/>
                <w:szCs w:val="15"/>
                <w:u w:val="none"/>
                <w:lang w:val="en-US" w:eastAsia="zh-CN" w:bidi="ar"/>
              </w:rPr>
              <w:t xml:space="preserve">.0000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宗地形状</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宗地面积</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宗地临街道路等级与通达性</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临街宽度</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0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临街深度</w:t>
            </w:r>
          </w:p>
        </w:tc>
        <w:tc>
          <w:tcPr>
            <w:tcW w:w="12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-0.0101 </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sectPr>
          <w:pgSz w:w="11907" w:h="16840"/>
          <w:pgMar w:top="1701" w:right="1701" w:bottom="1701" w:left="1701" w:header="1134" w:footer="1021" w:gutter="0"/>
          <w:pgNumType w:fmt="decimal"/>
          <w:cols w:space="720" w:num="1"/>
          <w:docGrid w:linePitch="271" w:charSpace="0"/>
        </w:sectPr>
      </w:pP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3-3</w:t>
      </w:r>
      <w:r>
        <w:rPr>
          <w:rFonts w:hint="eastAsia" w:ascii="仿宋_GB2312" w:hAnsi="宋体" w:eastAsia="仿宋_GB2312"/>
          <w:b/>
          <w:sz w:val="24"/>
        </w:rPr>
        <w:t xml:space="preserve">  Ⅱ级</w:t>
      </w:r>
      <w:r>
        <w:rPr>
          <w:rFonts w:hint="eastAsia" w:ascii="仿宋_GB2312" w:hAnsi="宋体" w:eastAsia="仿宋_GB2312"/>
          <w:b/>
          <w:sz w:val="24"/>
          <w:lang w:eastAsia="zh-CN"/>
        </w:rPr>
        <w:t>商业服务业用地</w:t>
      </w:r>
      <w:r>
        <w:rPr>
          <w:rFonts w:hint="eastAsia" w:ascii="仿宋_GB2312" w:hAnsi="宋体" w:eastAsia="仿宋_GB2312"/>
          <w:b/>
          <w:sz w:val="24"/>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546"/>
        <w:gridCol w:w="1488"/>
        <w:gridCol w:w="1348"/>
        <w:gridCol w:w="1402"/>
        <w:gridCol w:w="1345"/>
        <w:gridCol w:w="1397"/>
        <w:gridCol w:w="1195"/>
      </w:tblGrid>
      <w:tr>
        <w:tblPrEx>
          <w:tblCellMar>
            <w:top w:w="0" w:type="dxa"/>
            <w:left w:w="108" w:type="dxa"/>
            <w:bottom w:w="0" w:type="dxa"/>
            <w:right w:w="108" w:type="dxa"/>
          </w:tblCellMar>
        </w:tblPrEx>
        <w:trPr>
          <w:trHeight w:val="283" w:hRule="atLeast"/>
          <w:jc w:val="center"/>
        </w:trPr>
        <w:tc>
          <w:tcPr>
            <w:tcW w:w="203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影响因素</w:t>
            </w:r>
          </w:p>
        </w:tc>
        <w:tc>
          <w:tcPr>
            <w:tcW w:w="134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优</w:t>
            </w:r>
          </w:p>
        </w:tc>
        <w:tc>
          <w:tcPr>
            <w:tcW w:w="140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较优</w:t>
            </w:r>
          </w:p>
        </w:tc>
        <w:tc>
          <w:tcPr>
            <w:tcW w:w="13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一般</w:t>
            </w:r>
          </w:p>
        </w:tc>
        <w:tc>
          <w:tcPr>
            <w:tcW w:w="139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较劣</w:t>
            </w:r>
          </w:p>
        </w:tc>
        <w:tc>
          <w:tcPr>
            <w:tcW w:w="11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劣</w:t>
            </w:r>
          </w:p>
        </w:tc>
      </w:tr>
      <w:tr>
        <w:tblPrEx>
          <w:tblCellMar>
            <w:top w:w="0" w:type="dxa"/>
            <w:left w:w="108" w:type="dxa"/>
            <w:bottom w:w="0" w:type="dxa"/>
            <w:right w:w="108" w:type="dxa"/>
          </w:tblCellMar>
        </w:tblPrEx>
        <w:trPr>
          <w:trHeight w:val="283" w:hRule="atLeast"/>
          <w:jc w:val="center"/>
        </w:trPr>
        <w:tc>
          <w:tcPr>
            <w:tcW w:w="546"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r>
              <w:rPr>
                <w:rFonts w:hint="eastAsia" w:ascii="仿宋_GB2312" w:hAnsi="宋体" w:eastAsia="仿宋_GB2312" w:cs="Times New Roman"/>
                <w:sz w:val="15"/>
                <w:szCs w:val="15"/>
                <w:lang w:val="en-US" w:eastAsia="zh-CN"/>
              </w:rPr>
              <w:t>区域因素</w:t>
            </w: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道路类型</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混合型主干道</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生活型主干道</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交通型主干道</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次干道</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支路</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交通便捷度</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道路交通运行顺畅、车辆可以自由行驶、乘客舒适程度较高</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车辆可以较高速行驶、乘客舒适程度较高</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道路交通流量较大、车速较慢、且交通处于不稳定流状态</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道路交通流量较大、车速慢、且交通处于停滞流状态</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供水</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集中供水充足、保证率98%以上</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集中供水较充足、保证率98%-95%</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集中供水基本充足、保证率90%-95%</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集中供水保证率低、保证率90%以下</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无集中供水</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排水</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有雨排和污排且通畅</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有雨排和污排基本通畅</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只有污排</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只有雨排</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无排水系统</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供暖</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位于主管道两侧</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距主管道100米以内</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距主管道200米以内</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位于支线管道两侧</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无集中供热</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人口密度（人/平方千米）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[400-500)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[300-400)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[200-300)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距商服中心距离（米）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＜300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[300-500)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[500-1000)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[1000-1500)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≥1500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距车站距离（米）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＜500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[500-1000)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[1000-1500)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[1500-2000)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＞2000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火</w:t>
            </w:r>
            <w:r>
              <w:rPr>
                <w:rFonts w:hint="eastAsia" w:ascii="仿宋_GB2312" w:hAnsi="宋体" w:eastAsia="仿宋_GB2312" w:cs="Times New Roman"/>
                <w:sz w:val="15"/>
                <w:szCs w:val="15"/>
                <w:lang w:eastAsia="zh-CN"/>
              </w:rPr>
              <w:t>车站距离（米）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500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[500,1000)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[1000,1500)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[1500,2500)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≥2500</w:t>
            </w:r>
          </w:p>
        </w:tc>
      </w:tr>
      <w:tr>
        <w:tblPrEx>
          <w:tblCellMar>
            <w:top w:w="0" w:type="dxa"/>
            <w:left w:w="108" w:type="dxa"/>
            <w:bottom w:w="0" w:type="dxa"/>
            <w:right w:w="108" w:type="dxa"/>
          </w:tblCellMar>
        </w:tblPrEx>
        <w:trPr>
          <w:trHeight w:val="283" w:hRule="atLeast"/>
          <w:jc w:val="center"/>
        </w:trPr>
        <w:tc>
          <w:tcPr>
            <w:tcW w:w="546"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个别</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因素</w:t>
            </w: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形状有利于土地利用</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形状较规则，不影响土地利用</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土地形状不规则，但利用正常</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形状不规则，对利用有影响</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形状不规则，对土地利用影响大</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宗地面积</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面积大小特别适于土地利用类型</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面积大小较适于土地利用类型</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面积大小对土地利用无影响</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相对土地利用类型偏大或偏小</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面积大小不适合土地利用类型</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宗地临街道路等级与通达性</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两面临主干道</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两面临街、其中一面邻主干道</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一面临主干道或两面临次干道</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一面临次干道或支路</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不临街</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临街宽度（米）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[10-15)</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[6-10)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[3-6)</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临街深度（米）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[6-10)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[10-12)</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[12-15)</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3-4</w:t>
      </w:r>
      <w:r>
        <w:rPr>
          <w:rFonts w:hint="eastAsia" w:ascii="仿宋_GB2312" w:hAnsi="宋体" w:eastAsia="仿宋_GB2312"/>
          <w:b/>
          <w:sz w:val="24"/>
        </w:rPr>
        <w:t xml:space="preserve">  Ⅱ级</w:t>
      </w:r>
      <w:r>
        <w:rPr>
          <w:rFonts w:hint="eastAsia" w:ascii="仿宋_GB2312" w:hAnsi="宋体" w:eastAsia="仿宋_GB2312"/>
          <w:b/>
          <w:sz w:val="24"/>
          <w:lang w:eastAsia="zh-CN"/>
        </w:rPr>
        <w:t>商业服务业用地</w:t>
      </w:r>
      <w:r>
        <w:rPr>
          <w:rFonts w:hint="eastAsia" w:ascii="仿宋_GB2312" w:hAnsi="宋体" w:eastAsia="仿宋_GB2312"/>
          <w:b/>
          <w:sz w:val="24"/>
        </w:rPr>
        <w:t>地价区位因素及个别因素修正系数表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1100"/>
        <w:gridCol w:w="1101"/>
        <w:gridCol w:w="1101"/>
        <w:gridCol w:w="1101"/>
        <w:gridCol w:w="11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100"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道路类型</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0.09</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交通便捷度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-0.0096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-0.0193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供水</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-0.0084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排水</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-0.0084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供暖</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-0.0084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人口密度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-0.0084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距商服中心距离</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0.13</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-0.0157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距汽车站距离</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-0.0096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-0.0193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距火车站距离</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宗地形状</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-0.0084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宗地面积</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宗地临街道路等级与通达性</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临街宽度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临街深度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-0.0121 </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sectPr>
          <w:pgSz w:w="11907" w:h="16840"/>
          <w:pgMar w:top="1701" w:right="1701" w:bottom="1701" w:left="1701" w:header="1134" w:footer="1021" w:gutter="0"/>
          <w:pgNumType w:fmt="decimal"/>
          <w:cols w:space="720" w:num="1"/>
          <w:docGrid w:linePitch="271" w:charSpace="0"/>
        </w:sect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rPr>
      </w:pPr>
      <w:r>
        <w:rPr>
          <w:rFonts w:hint="eastAsia" w:ascii="仿宋_GB2312" w:hAnsi="宋体" w:eastAsia="仿宋_GB2312"/>
          <w:b/>
          <w:sz w:val="24"/>
        </w:rPr>
        <w:t>表</w:t>
      </w:r>
      <w:r>
        <w:rPr>
          <w:rFonts w:hint="eastAsia" w:ascii="仿宋_GB2312" w:hAnsi="宋体" w:eastAsia="仿宋_GB2312"/>
          <w:b/>
          <w:sz w:val="24"/>
          <w:lang w:val="en-US" w:eastAsia="zh-CN"/>
        </w:rPr>
        <w:t>3-5</w:t>
      </w:r>
      <w:r>
        <w:rPr>
          <w:rFonts w:hint="eastAsia" w:ascii="仿宋_GB2312" w:hAnsi="宋体" w:eastAsia="仿宋_GB2312"/>
          <w:b/>
          <w:sz w:val="24"/>
        </w:rPr>
        <w:t xml:space="preserve">  </w:t>
      </w:r>
      <w:r>
        <w:rPr>
          <w:rFonts w:hint="eastAsia" w:ascii="仿宋" w:hAnsi="仿宋" w:eastAsia="仿宋"/>
          <w:b/>
          <w:sz w:val="24"/>
        </w:rPr>
        <w:t>Ⅲ</w:t>
      </w:r>
      <w:r>
        <w:rPr>
          <w:rFonts w:hint="eastAsia" w:ascii="仿宋_GB2312" w:hAnsi="宋体" w:eastAsia="仿宋_GB2312"/>
          <w:b/>
          <w:sz w:val="24"/>
        </w:rPr>
        <w:t>级</w:t>
      </w:r>
      <w:r>
        <w:rPr>
          <w:rFonts w:hint="eastAsia" w:ascii="仿宋_GB2312" w:hAnsi="宋体" w:eastAsia="仿宋_GB2312"/>
          <w:b/>
          <w:sz w:val="24"/>
          <w:lang w:eastAsia="zh-CN"/>
        </w:rPr>
        <w:t>商业服务业用地</w:t>
      </w:r>
      <w:r>
        <w:rPr>
          <w:rFonts w:hint="eastAsia" w:ascii="仿宋_GB2312" w:hAnsi="宋体" w:eastAsia="仿宋_GB2312"/>
          <w:b/>
          <w:sz w:val="24"/>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546"/>
        <w:gridCol w:w="1488"/>
        <w:gridCol w:w="1348"/>
        <w:gridCol w:w="1402"/>
        <w:gridCol w:w="1345"/>
        <w:gridCol w:w="1397"/>
        <w:gridCol w:w="1195"/>
      </w:tblGrid>
      <w:tr>
        <w:tblPrEx>
          <w:tblCellMar>
            <w:top w:w="0" w:type="dxa"/>
            <w:left w:w="108" w:type="dxa"/>
            <w:bottom w:w="0" w:type="dxa"/>
            <w:right w:w="108" w:type="dxa"/>
          </w:tblCellMar>
        </w:tblPrEx>
        <w:trPr>
          <w:trHeight w:val="283" w:hRule="atLeast"/>
          <w:jc w:val="center"/>
        </w:trPr>
        <w:tc>
          <w:tcPr>
            <w:tcW w:w="203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影响因素</w:t>
            </w:r>
          </w:p>
        </w:tc>
        <w:tc>
          <w:tcPr>
            <w:tcW w:w="134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优</w:t>
            </w:r>
          </w:p>
        </w:tc>
        <w:tc>
          <w:tcPr>
            <w:tcW w:w="140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较优</w:t>
            </w:r>
          </w:p>
        </w:tc>
        <w:tc>
          <w:tcPr>
            <w:tcW w:w="13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一般</w:t>
            </w:r>
          </w:p>
        </w:tc>
        <w:tc>
          <w:tcPr>
            <w:tcW w:w="139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较劣</w:t>
            </w:r>
          </w:p>
        </w:tc>
        <w:tc>
          <w:tcPr>
            <w:tcW w:w="11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劣</w:t>
            </w:r>
          </w:p>
        </w:tc>
      </w:tr>
      <w:tr>
        <w:tblPrEx>
          <w:tblCellMar>
            <w:top w:w="0" w:type="dxa"/>
            <w:left w:w="108" w:type="dxa"/>
            <w:bottom w:w="0" w:type="dxa"/>
            <w:right w:w="108" w:type="dxa"/>
          </w:tblCellMar>
        </w:tblPrEx>
        <w:trPr>
          <w:trHeight w:val="283" w:hRule="atLeast"/>
          <w:jc w:val="center"/>
        </w:trPr>
        <w:tc>
          <w:tcPr>
            <w:tcW w:w="546"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r>
              <w:rPr>
                <w:rFonts w:hint="eastAsia" w:ascii="仿宋_GB2312" w:hAnsi="宋体" w:eastAsia="仿宋_GB2312" w:cs="Times New Roman"/>
                <w:sz w:val="15"/>
                <w:szCs w:val="15"/>
                <w:lang w:val="en-US" w:eastAsia="zh-CN"/>
              </w:rPr>
              <w:t>区域因素</w:t>
            </w: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道路类型</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混合型主干道</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生活型主干道</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交通型主干道</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次干道</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支路</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交通便捷度</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道路交通运行顺畅、车辆可以自由行驶、乘客舒适程度较高</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车辆可以较高速行驶、乘客舒适程度较高</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道路交通流量较大、车速较慢、且交通处于不稳定流状态</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道路交通流量较大、车速慢、且交通处于停滞流状态</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供水</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集中供水充足、保证率98%以上</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集中供水较充足、保证率98%-95%</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集中供水基本充足、保证率90%-95%</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集中供水保证率低、保证率90%以下</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无集中供水</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排水</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有雨排和污排且通畅</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有雨排和污排基本通畅</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只有污排</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只有雨排</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无排水系统</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供暖</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位于主管道两侧</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距主管道100米以内</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距主管道200米以内</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位于支线管道两侧</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无集中供热</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人口密度（人/平方千米）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[400-500)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[300-400)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[200-300)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距商服中心距离（米）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5</w:t>
            </w:r>
            <w:r>
              <w:rPr>
                <w:rFonts w:hint="eastAsia" w:ascii="仿宋_GB2312" w:hAnsi="宋体" w:eastAsia="仿宋_GB2312" w:cs="Times New Roman"/>
                <w:sz w:val="15"/>
                <w:szCs w:val="15"/>
                <w:lang w:eastAsia="zh-CN"/>
              </w:rPr>
              <w:t>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5</w:t>
            </w:r>
            <w:r>
              <w:rPr>
                <w:rFonts w:hint="eastAsia" w:ascii="仿宋_GB2312" w:hAnsi="宋体" w:eastAsia="仿宋_GB2312" w:cs="Times New Roman"/>
                <w:sz w:val="15"/>
                <w:szCs w:val="15"/>
                <w:lang w:eastAsia="zh-CN"/>
              </w:rPr>
              <w:t>00-</w:t>
            </w:r>
            <w:r>
              <w:rPr>
                <w:rFonts w:hint="eastAsia" w:ascii="仿宋_GB2312" w:hAnsi="宋体" w:eastAsia="仿宋_GB2312" w:cs="Times New Roman"/>
                <w:sz w:val="15"/>
                <w:szCs w:val="15"/>
                <w:lang w:val="en-US" w:eastAsia="zh-CN"/>
              </w:rPr>
              <w:t>7</w:t>
            </w:r>
            <w:r>
              <w:rPr>
                <w:rFonts w:hint="eastAsia" w:ascii="仿宋_GB2312" w:hAnsi="宋体" w:eastAsia="仿宋_GB2312" w:cs="Times New Roman"/>
                <w:sz w:val="15"/>
                <w:szCs w:val="15"/>
                <w:lang w:eastAsia="zh-CN"/>
              </w:rPr>
              <w:t>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7</w:t>
            </w:r>
            <w:r>
              <w:rPr>
                <w:rFonts w:hint="eastAsia" w:ascii="仿宋_GB2312" w:hAnsi="宋体" w:eastAsia="仿宋_GB2312" w:cs="Times New Roman"/>
                <w:sz w:val="15"/>
                <w:szCs w:val="15"/>
                <w:lang w:eastAsia="zh-CN"/>
              </w:rPr>
              <w:t>00-1000)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[1000-1500)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≥1500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距车站距离（米）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＜500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[500-1000)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[1000-1500)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[1500-2000)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＞2000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火</w:t>
            </w:r>
            <w:r>
              <w:rPr>
                <w:rFonts w:hint="eastAsia" w:ascii="仿宋_GB2312" w:hAnsi="宋体" w:eastAsia="仿宋_GB2312" w:cs="Times New Roman"/>
                <w:sz w:val="15"/>
                <w:szCs w:val="15"/>
                <w:lang w:eastAsia="zh-CN"/>
              </w:rPr>
              <w:t>车站距离（米）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500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[500,1000)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[1000,1500)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[1500,2500)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val="en-US" w:eastAsia="zh-CN"/>
              </w:rPr>
              <w:t>≥2500</w:t>
            </w:r>
          </w:p>
        </w:tc>
      </w:tr>
      <w:tr>
        <w:tblPrEx>
          <w:tblCellMar>
            <w:top w:w="0" w:type="dxa"/>
            <w:left w:w="108" w:type="dxa"/>
            <w:bottom w:w="0" w:type="dxa"/>
            <w:right w:w="108" w:type="dxa"/>
          </w:tblCellMar>
        </w:tblPrEx>
        <w:trPr>
          <w:trHeight w:val="283" w:hRule="atLeast"/>
          <w:jc w:val="center"/>
        </w:trPr>
        <w:tc>
          <w:tcPr>
            <w:tcW w:w="546"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个别</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因素</w:t>
            </w: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形状有利于土地利用</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形状较规则，不影响土地利用</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土地形状不规则，但利用正常</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形状不规则，对利用有影响</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形状不规则，对土地利用影响大</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宗地面积</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面积大小特别适于土地利用类型</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面积大小较适于土地利用类型</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面积大小对土地利用无影响</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相对土地利用类型偏大或偏小</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面积大小不适合土地利用类型</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宗地临街道路等级与通达性</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两面临主干道</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两面临街、其中一面邻主干道</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一面临主干道或两面临次干道</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一面临次干道或支路</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不临街</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临街宽度（米）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[10-15)</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[6-10)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[3-6)</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临街深度（米）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[6-10)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[10-12)</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[12-15)</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8"/>
          <w:szCs w:val="28"/>
          <w:highlight w:val="none"/>
          <w:lang w:eastAsia="zh-CN"/>
        </w:rPr>
      </w:pP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8"/>
          <w:szCs w:val="28"/>
          <w:highlight w:val="none"/>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3-6</w:t>
      </w:r>
      <w:r>
        <w:rPr>
          <w:rFonts w:hint="eastAsia" w:ascii="仿宋_GB2312" w:hAnsi="宋体" w:eastAsia="仿宋_GB2312"/>
          <w:b/>
          <w:sz w:val="24"/>
        </w:rPr>
        <w:t xml:space="preserve">  </w:t>
      </w:r>
      <w:r>
        <w:rPr>
          <w:rFonts w:hint="eastAsia" w:ascii="仿宋" w:hAnsi="仿宋" w:eastAsia="仿宋"/>
          <w:b/>
          <w:sz w:val="24"/>
        </w:rPr>
        <w:t>Ⅲ</w:t>
      </w:r>
      <w:r>
        <w:rPr>
          <w:rFonts w:hint="eastAsia" w:ascii="仿宋_GB2312" w:hAnsi="宋体" w:eastAsia="仿宋_GB2312"/>
          <w:b/>
          <w:sz w:val="24"/>
        </w:rPr>
        <w:t>级</w:t>
      </w:r>
      <w:r>
        <w:rPr>
          <w:rFonts w:hint="eastAsia" w:ascii="仿宋_GB2312" w:hAnsi="宋体" w:eastAsia="仿宋_GB2312"/>
          <w:b/>
          <w:sz w:val="24"/>
          <w:lang w:eastAsia="zh-CN"/>
        </w:rPr>
        <w:t>商业服务业用地</w:t>
      </w:r>
      <w:r>
        <w:rPr>
          <w:rFonts w:hint="eastAsia" w:ascii="仿宋_GB2312" w:hAnsi="宋体" w:eastAsia="仿宋_GB2312"/>
          <w:b/>
          <w:sz w:val="24"/>
        </w:rPr>
        <w:t>地价区位因素及个别因素修正系数表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1100"/>
        <w:gridCol w:w="1101"/>
        <w:gridCol w:w="1101"/>
        <w:gridCol w:w="1101"/>
        <w:gridCol w:w="11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100"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道路类型</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0.09</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交通便捷度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-0.0067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供水</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排水</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供暖</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人口密度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宋体"/>
                <w:sz w:val="15"/>
                <w:szCs w:val="15"/>
                <w:lang w:val="en-US" w:eastAsia="zh-CN" w:bidi="ar-SA"/>
              </w:rPr>
            </w:pPr>
            <w:r>
              <w:rPr>
                <w:rFonts w:hint="default" w:ascii="仿宋_GB2312" w:hAnsi="宋体" w:eastAsia="仿宋_GB2312" w:cs="仿宋_GB2312"/>
                <w:i w:val="0"/>
                <w:iCs w:val="0"/>
                <w:color w:val="000000"/>
                <w:kern w:val="0"/>
                <w:sz w:val="15"/>
                <w:szCs w:val="15"/>
                <w:u w:val="none"/>
                <w:lang w:val="en-US" w:eastAsia="zh-CN" w:bidi="ar"/>
              </w:rPr>
              <w:t>距商服中心距离</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0.13</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距汽车站距离</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-0.0067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距火车站距离</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宗地形状</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宗地面积</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宗地临街道路等级与通达性</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临街宽度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临街深度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val="0"/>
        <w:snapToGrid w:val="0"/>
        <w:spacing w:line="360" w:lineRule="auto"/>
        <w:ind w:firstLine="0" w:firstLineChars="0"/>
        <w:textAlignment w:val="auto"/>
        <w:rPr>
          <w:rFonts w:hint="eastAsia" w:ascii="仿宋_GB2312" w:hAnsi="宋体" w:eastAsia="仿宋_GB2312"/>
          <w:b/>
          <w:sz w:val="28"/>
          <w:szCs w:val="28"/>
          <w:highlight w:val="none"/>
          <w:lang w:eastAsia="zh-CN"/>
        </w:rPr>
        <w:sectPr>
          <w:pgSz w:w="11907" w:h="16840"/>
          <w:pgMar w:top="1701" w:right="1701" w:bottom="1701" w:left="1701" w:header="1134" w:footer="1021" w:gutter="0"/>
          <w:pgNumType w:fmt="decimal"/>
          <w:cols w:space="720" w:num="1"/>
          <w:docGrid w:linePitch="271" w:charSpace="0"/>
        </w:sectPr>
      </w:pPr>
      <w:r>
        <w:rPr>
          <w:rFonts w:hint="eastAsia" w:ascii="仿宋_GB2312" w:hAnsi="宋体" w:eastAsia="仿宋_GB2312"/>
          <w:b/>
          <w:sz w:val="28"/>
          <w:szCs w:val="28"/>
          <w:highlight w:val="none"/>
          <w:lang w:eastAsia="zh-CN"/>
        </w:rPr>
        <w:t>　　</w:t>
      </w:r>
    </w:p>
    <w:p>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宋体" w:eastAsia="仿宋_GB2312"/>
          <w:b/>
          <w:sz w:val="24"/>
        </w:rPr>
      </w:pPr>
      <w:r>
        <w:rPr>
          <w:rFonts w:hint="eastAsia" w:ascii="仿宋_GB2312" w:hAnsi="宋体" w:eastAsia="仿宋_GB2312"/>
          <w:b/>
          <w:sz w:val="24"/>
        </w:rPr>
        <w:t>表</w:t>
      </w:r>
      <w:r>
        <w:rPr>
          <w:rFonts w:hint="eastAsia" w:ascii="仿宋_GB2312" w:hAnsi="宋体" w:eastAsia="仿宋_GB2312"/>
          <w:b/>
          <w:sz w:val="24"/>
          <w:lang w:val="en-US" w:eastAsia="zh-CN"/>
        </w:rPr>
        <w:t>3-7</w:t>
      </w:r>
      <w:r>
        <w:rPr>
          <w:rFonts w:hint="eastAsia" w:ascii="仿宋_GB2312" w:hAnsi="宋体" w:eastAsia="仿宋_GB2312"/>
          <w:b/>
          <w:sz w:val="24"/>
        </w:rPr>
        <w:t xml:space="preserve"> </w:t>
      </w:r>
      <w:r>
        <w:rPr>
          <w:rFonts w:hint="eastAsia" w:ascii="仿宋_GB2312" w:hAnsi="宋体" w:eastAsia="仿宋_GB2312"/>
          <w:b/>
          <w:sz w:val="24"/>
          <w:lang w:val="en-US" w:eastAsia="zh-CN"/>
        </w:rPr>
        <w:t>IV</w:t>
      </w:r>
      <w:r>
        <w:rPr>
          <w:rFonts w:hint="eastAsia" w:ascii="仿宋_GB2312" w:hAnsi="宋体" w:eastAsia="仿宋_GB2312"/>
          <w:b/>
          <w:sz w:val="24"/>
        </w:rPr>
        <w:t>级</w:t>
      </w:r>
      <w:r>
        <w:rPr>
          <w:rFonts w:hint="eastAsia" w:ascii="仿宋_GB2312" w:hAnsi="宋体" w:eastAsia="仿宋_GB2312"/>
          <w:b/>
          <w:sz w:val="24"/>
          <w:lang w:eastAsia="zh-CN"/>
        </w:rPr>
        <w:t>商业服务业用地</w:t>
      </w:r>
      <w:r>
        <w:rPr>
          <w:rFonts w:hint="eastAsia" w:ascii="仿宋_GB2312" w:hAnsi="宋体" w:eastAsia="仿宋_GB2312"/>
          <w:b/>
          <w:sz w:val="24"/>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546"/>
        <w:gridCol w:w="1488"/>
        <w:gridCol w:w="1348"/>
        <w:gridCol w:w="1402"/>
        <w:gridCol w:w="1345"/>
        <w:gridCol w:w="1397"/>
        <w:gridCol w:w="1195"/>
      </w:tblGrid>
      <w:tr>
        <w:tblPrEx>
          <w:tblCellMar>
            <w:top w:w="0" w:type="dxa"/>
            <w:left w:w="108" w:type="dxa"/>
            <w:bottom w:w="0" w:type="dxa"/>
            <w:right w:w="108" w:type="dxa"/>
          </w:tblCellMar>
        </w:tblPrEx>
        <w:trPr>
          <w:trHeight w:val="283" w:hRule="atLeast"/>
          <w:jc w:val="center"/>
        </w:trPr>
        <w:tc>
          <w:tcPr>
            <w:tcW w:w="203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影响因素</w:t>
            </w:r>
          </w:p>
        </w:tc>
        <w:tc>
          <w:tcPr>
            <w:tcW w:w="134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优</w:t>
            </w:r>
          </w:p>
        </w:tc>
        <w:tc>
          <w:tcPr>
            <w:tcW w:w="140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较优</w:t>
            </w:r>
          </w:p>
        </w:tc>
        <w:tc>
          <w:tcPr>
            <w:tcW w:w="134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一般</w:t>
            </w:r>
          </w:p>
        </w:tc>
        <w:tc>
          <w:tcPr>
            <w:tcW w:w="139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较劣</w:t>
            </w:r>
          </w:p>
        </w:tc>
        <w:tc>
          <w:tcPr>
            <w:tcW w:w="119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劣</w:t>
            </w:r>
          </w:p>
        </w:tc>
      </w:tr>
      <w:tr>
        <w:tblPrEx>
          <w:tblCellMar>
            <w:top w:w="0" w:type="dxa"/>
            <w:left w:w="108" w:type="dxa"/>
            <w:bottom w:w="0" w:type="dxa"/>
            <w:right w:w="108" w:type="dxa"/>
          </w:tblCellMar>
        </w:tblPrEx>
        <w:trPr>
          <w:trHeight w:val="283" w:hRule="atLeast"/>
          <w:jc w:val="center"/>
        </w:trPr>
        <w:tc>
          <w:tcPr>
            <w:tcW w:w="546"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r>
              <w:rPr>
                <w:rFonts w:hint="eastAsia" w:ascii="仿宋_GB2312" w:hAnsi="宋体" w:eastAsia="仿宋_GB2312" w:cs="Times New Roman"/>
                <w:sz w:val="15"/>
                <w:szCs w:val="15"/>
                <w:lang w:val="en-US" w:eastAsia="zh-CN"/>
              </w:rPr>
              <w:t>区域因素</w:t>
            </w: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道路类型</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混合型主干道</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生活型主干道</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交通型主干道</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次干道</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支路</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交通便捷度</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道路交通运行顺畅、车辆可以自由行驶、乘客舒适程度较高</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车辆可以较高速行驶、乘客舒适程度较高</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道路交通流量较大、车速较慢、且交通处于不稳定流状态</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道路交通流量较大、车速慢、且交通处于停滞流状态</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供水</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集中供水充足、保证率98%以上</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集中供水较充足、保证率98%-95%</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集中供水基本充足、保证率90%-95%</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集中供水保证率低、保证率90%以下</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无集中供水</w:t>
            </w:r>
          </w:p>
        </w:tc>
      </w:tr>
      <w:tr>
        <w:tblPrEx>
          <w:tblCellMar>
            <w:top w:w="0" w:type="dxa"/>
            <w:left w:w="108" w:type="dxa"/>
            <w:bottom w:w="0" w:type="dxa"/>
            <w:right w:w="108" w:type="dxa"/>
          </w:tblCellMar>
        </w:tblPrEx>
        <w:trPr>
          <w:trHeight w:val="90"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排水</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有雨排和污排且通畅</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有雨排和污排基本通畅</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只有污排</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只有雨排</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无排水系统</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供暖</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位于主管道两侧</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距主管道100米以内</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距主管道200米以内</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位于支线管道两侧</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无集中供热</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人口密度（人/平方千米）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[400-500)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[300-400)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[200-300)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距商服中心距离（米）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9</w:t>
            </w:r>
            <w:r>
              <w:rPr>
                <w:rFonts w:hint="eastAsia" w:ascii="仿宋_GB2312" w:hAnsi="宋体" w:eastAsia="仿宋_GB2312" w:cs="Times New Roman"/>
                <w:sz w:val="15"/>
                <w:szCs w:val="15"/>
                <w:lang w:eastAsia="zh-CN"/>
              </w:rPr>
              <w:t>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9</w:t>
            </w:r>
            <w:r>
              <w:rPr>
                <w:rFonts w:hint="eastAsia" w:ascii="仿宋_GB2312" w:hAnsi="宋体" w:eastAsia="仿宋_GB2312" w:cs="Times New Roman"/>
                <w:sz w:val="15"/>
                <w:szCs w:val="15"/>
                <w:lang w:eastAsia="zh-CN"/>
              </w:rPr>
              <w:t>00-</w:t>
            </w:r>
            <w:r>
              <w:rPr>
                <w:rFonts w:hint="eastAsia" w:ascii="仿宋_GB2312" w:hAnsi="宋体" w:eastAsia="仿宋_GB2312" w:cs="Times New Roman"/>
                <w:sz w:val="15"/>
                <w:szCs w:val="15"/>
                <w:lang w:val="en-US" w:eastAsia="zh-CN"/>
              </w:rPr>
              <w:t>12</w:t>
            </w:r>
            <w:r>
              <w:rPr>
                <w:rFonts w:hint="eastAsia" w:ascii="仿宋_GB2312" w:hAnsi="宋体" w:eastAsia="仿宋_GB2312" w:cs="Times New Roman"/>
                <w:sz w:val="15"/>
                <w:szCs w:val="15"/>
                <w:lang w:eastAsia="zh-CN"/>
              </w:rPr>
              <w:t>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12</w:t>
            </w:r>
            <w:r>
              <w:rPr>
                <w:rFonts w:hint="eastAsia" w:ascii="仿宋_GB2312" w:hAnsi="宋体" w:eastAsia="仿宋_GB2312" w:cs="Times New Roman"/>
                <w:sz w:val="15"/>
                <w:szCs w:val="15"/>
                <w:lang w:eastAsia="zh-CN"/>
              </w:rPr>
              <w:t>00-1</w:t>
            </w:r>
            <w:r>
              <w:rPr>
                <w:rFonts w:hint="eastAsia" w:ascii="仿宋_GB2312" w:hAnsi="宋体" w:eastAsia="仿宋_GB2312" w:cs="Times New Roman"/>
                <w:sz w:val="15"/>
                <w:szCs w:val="15"/>
                <w:lang w:val="en-US" w:eastAsia="zh-CN"/>
              </w:rPr>
              <w:t>5</w:t>
            </w:r>
            <w:r>
              <w:rPr>
                <w:rFonts w:hint="eastAsia" w:ascii="仿宋_GB2312" w:hAnsi="宋体" w:eastAsia="仿宋_GB2312" w:cs="Times New Roman"/>
                <w:sz w:val="15"/>
                <w:szCs w:val="15"/>
                <w:lang w:eastAsia="zh-CN"/>
              </w:rPr>
              <w:t>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w:t>
            </w:r>
            <w:r>
              <w:rPr>
                <w:rFonts w:hint="eastAsia" w:ascii="仿宋_GB2312" w:hAnsi="宋体" w:eastAsia="仿宋_GB2312" w:cs="Times New Roman"/>
                <w:sz w:val="15"/>
                <w:szCs w:val="15"/>
                <w:lang w:val="en-US" w:eastAsia="zh-CN"/>
              </w:rPr>
              <w:t>5</w:t>
            </w:r>
            <w:r>
              <w:rPr>
                <w:rFonts w:hint="eastAsia" w:ascii="仿宋_GB2312" w:hAnsi="宋体" w:eastAsia="仿宋_GB2312" w:cs="Times New Roman"/>
                <w:sz w:val="15"/>
                <w:szCs w:val="15"/>
                <w:lang w:eastAsia="zh-CN"/>
              </w:rPr>
              <w:t>00-</w:t>
            </w:r>
            <w:r>
              <w:rPr>
                <w:rFonts w:hint="eastAsia" w:ascii="仿宋_GB2312" w:hAnsi="宋体" w:eastAsia="仿宋_GB2312" w:cs="Times New Roman"/>
                <w:sz w:val="15"/>
                <w:szCs w:val="15"/>
                <w:lang w:val="en-US" w:eastAsia="zh-CN"/>
              </w:rPr>
              <w:t>20</w:t>
            </w:r>
            <w:r>
              <w:rPr>
                <w:rFonts w:hint="eastAsia" w:ascii="仿宋_GB2312" w:hAnsi="宋体" w:eastAsia="仿宋_GB2312" w:cs="Times New Roman"/>
                <w:sz w:val="15"/>
                <w:szCs w:val="15"/>
                <w:lang w:eastAsia="zh-CN"/>
              </w:rPr>
              <w:t>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20</w:t>
            </w:r>
            <w:r>
              <w:rPr>
                <w:rFonts w:hint="eastAsia" w:ascii="仿宋_GB2312" w:hAnsi="宋体" w:eastAsia="仿宋_GB2312" w:cs="Times New Roman"/>
                <w:sz w:val="15"/>
                <w:szCs w:val="15"/>
                <w:lang w:eastAsia="zh-CN"/>
              </w:rPr>
              <w:t>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距车站距离（米）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1000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10</w:t>
            </w:r>
            <w:r>
              <w:rPr>
                <w:rFonts w:hint="eastAsia" w:ascii="仿宋_GB2312" w:hAnsi="宋体" w:eastAsia="仿宋_GB2312" w:cs="Times New Roman"/>
                <w:sz w:val="15"/>
                <w:szCs w:val="15"/>
                <w:lang w:eastAsia="zh-CN"/>
              </w:rPr>
              <w:t>00-1</w:t>
            </w:r>
            <w:r>
              <w:rPr>
                <w:rFonts w:hint="eastAsia" w:ascii="仿宋_GB2312" w:hAnsi="宋体" w:eastAsia="仿宋_GB2312" w:cs="Times New Roman"/>
                <w:sz w:val="15"/>
                <w:szCs w:val="15"/>
                <w:lang w:val="en-US" w:eastAsia="zh-CN"/>
              </w:rPr>
              <w:t>2</w:t>
            </w:r>
            <w:r>
              <w:rPr>
                <w:rFonts w:hint="eastAsia" w:ascii="仿宋_GB2312" w:hAnsi="宋体" w:eastAsia="仿宋_GB2312" w:cs="Times New Roman"/>
                <w:sz w:val="15"/>
                <w:szCs w:val="15"/>
                <w:lang w:eastAsia="zh-CN"/>
              </w:rPr>
              <w:t>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w:t>
            </w:r>
            <w:r>
              <w:rPr>
                <w:rFonts w:hint="eastAsia" w:ascii="仿宋_GB2312" w:hAnsi="宋体" w:eastAsia="仿宋_GB2312" w:cs="Times New Roman"/>
                <w:sz w:val="15"/>
                <w:szCs w:val="15"/>
                <w:lang w:val="en-US" w:eastAsia="zh-CN"/>
              </w:rPr>
              <w:t>2</w:t>
            </w:r>
            <w:r>
              <w:rPr>
                <w:rFonts w:hint="eastAsia" w:ascii="仿宋_GB2312" w:hAnsi="宋体" w:eastAsia="仿宋_GB2312" w:cs="Times New Roman"/>
                <w:sz w:val="15"/>
                <w:szCs w:val="15"/>
                <w:lang w:eastAsia="zh-CN"/>
              </w:rPr>
              <w:t>00-1500)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[1500-2000)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＞2000</w:t>
            </w:r>
          </w:p>
        </w:tc>
      </w:tr>
      <w:tr>
        <w:tblPrEx>
          <w:tblCellMar>
            <w:top w:w="0" w:type="dxa"/>
            <w:left w:w="108" w:type="dxa"/>
            <w:bottom w:w="0" w:type="dxa"/>
            <w:right w:w="108" w:type="dxa"/>
          </w:tblCellMar>
        </w:tblPrEx>
        <w:trPr>
          <w:trHeight w:val="283" w:hRule="atLeast"/>
          <w:jc w:val="center"/>
        </w:trPr>
        <w:tc>
          <w:tcPr>
            <w:tcW w:w="546"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火</w:t>
            </w:r>
            <w:r>
              <w:rPr>
                <w:rFonts w:hint="eastAsia" w:ascii="仿宋_GB2312" w:hAnsi="宋体" w:eastAsia="仿宋_GB2312" w:cs="Times New Roman"/>
                <w:sz w:val="15"/>
                <w:szCs w:val="15"/>
                <w:lang w:eastAsia="zh-CN"/>
              </w:rPr>
              <w:t>车站距离（米）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1000</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10</w:t>
            </w:r>
            <w:r>
              <w:rPr>
                <w:rFonts w:hint="eastAsia" w:ascii="仿宋_GB2312" w:hAnsi="宋体" w:eastAsia="仿宋_GB2312" w:cs="Times New Roman"/>
                <w:sz w:val="15"/>
                <w:szCs w:val="15"/>
                <w:lang w:eastAsia="zh-CN"/>
              </w:rPr>
              <w:t>00-1</w:t>
            </w:r>
            <w:r>
              <w:rPr>
                <w:rFonts w:hint="eastAsia" w:ascii="仿宋_GB2312" w:hAnsi="宋体" w:eastAsia="仿宋_GB2312" w:cs="Times New Roman"/>
                <w:sz w:val="15"/>
                <w:szCs w:val="15"/>
                <w:lang w:val="en-US" w:eastAsia="zh-CN"/>
              </w:rPr>
              <w:t>2</w:t>
            </w:r>
            <w:r>
              <w:rPr>
                <w:rFonts w:hint="eastAsia" w:ascii="仿宋_GB2312" w:hAnsi="宋体" w:eastAsia="仿宋_GB2312" w:cs="Times New Roman"/>
                <w:sz w:val="15"/>
                <w:szCs w:val="15"/>
                <w:lang w:eastAsia="zh-CN"/>
              </w:rPr>
              <w:t>00)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w:t>
            </w:r>
            <w:r>
              <w:rPr>
                <w:rFonts w:hint="eastAsia" w:ascii="仿宋_GB2312" w:hAnsi="宋体" w:eastAsia="仿宋_GB2312" w:cs="Times New Roman"/>
                <w:sz w:val="15"/>
                <w:szCs w:val="15"/>
                <w:lang w:val="en-US" w:eastAsia="zh-CN"/>
              </w:rPr>
              <w:t>2</w:t>
            </w:r>
            <w:r>
              <w:rPr>
                <w:rFonts w:hint="eastAsia" w:ascii="仿宋_GB2312" w:hAnsi="宋体" w:eastAsia="仿宋_GB2312" w:cs="Times New Roman"/>
                <w:sz w:val="15"/>
                <w:szCs w:val="15"/>
                <w:lang w:eastAsia="zh-CN"/>
              </w:rPr>
              <w:t>00-1500)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[1500-2000)</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val="en-US" w:eastAsia="zh-CN" w:bidi="ar-SA"/>
              </w:rPr>
            </w:pPr>
            <w:r>
              <w:rPr>
                <w:rFonts w:hint="eastAsia" w:ascii="仿宋_GB2312" w:hAnsi="宋体" w:eastAsia="仿宋_GB2312" w:cs="Times New Roman"/>
                <w:sz w:val="15"/>
                <w:szCs w:val="15"/>
                <w:lang w:eastAsia="zh-CN"/>
              </w:rPr>
              <w:t>＞2000</w:t>
            </w:r>
          </w:p>
        </w:tc>
      </w:tr>
      <w:tr>
        <w:tblPrEx>
          <w:tblCellMar>
            <w:top w:w="0" w:type="dxa"/>
            <w:left w:w="108" w:type="dxa"/>
            <w:bottom w:w="0" w:type="dxa"/>
            <w:right w:w="108" w:type="dxa"/>
          </w:tblCellMar>
        </w:tblPrEx>
        <w:trPr>
          <w:trHeight w:val="283" w:hRule="atLeast"/>
          <w:jc w:val="center"/>
        </w:trPr>
        <w:tc>
          <w:tcPr>
            <w:tcW w:w="546"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个别</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因素</w:t>
            </w: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形状有利于土地利用</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形状较规则，不影响土地利用</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土地形状不规则，但利用正常</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形状不规则，对利用有影响</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形状不规则，对土地利用影响大</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宗地面积</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面积大小特别适于土地利用类型</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面积大小较适于土地利用类型</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面积大小对土地利用无影响</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相对土地利用类型偏大或偏小</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面积大小不适合土地利用类型</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宗地临街道路等级与通达性</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两面临主干道</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两面临街、其中一面邻主干道</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一面临主干道或两面临次干道</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一面临次干道或支路</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不临街</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临街宽度（米）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[10-15)</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[6-10)</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[3-6)</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w:t>
            </w:r>
          </w:p>
        </w:tc>
      </w:tr>
      <w:tr>
        <w:tblPrEx>
          <w:tblCellMar>
            <w:top w:w="0" w:type="dxa"/>
            <w:left w:w="108" w:type="dxa"/>
            <w:bottom w:w="0" w:type="dxa"/>
            <w:right w:w="108" w:type="dxa"/>
          </w:tblCellMar>
        </w:tblPrEx>
        <w:trPr>
          <w:trHeight w:val="283" w:hRule="atLeast"/>
          <w:jc w:val="center"/>
        </w:trPr>
        <w:tc>
          <w:tcPr>
            <w:tcW w:w="546"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48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临街深度（米）</w:t>
            </w:r>
          </w:p>
        </w:tc>
        <w:tc>
          <w:tcPr>
            <w:tcW w:w="134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w:t>
            </w:r>
          </w:p>
        </w:tc>
        <w:tc>
          <w:tcPr>
            <w:tcW w:w="140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[6-10)</w:t>
            </w:r>
          </w:p>
        </w:tc>
        <w:tc>
          <w:tcPr>
            <w:tcW w:w="134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[10-12)</w:t>
            </w:r>
          </w:p>
        </w:tc>
        <w:tc>
          <w:tcPr>
            <w:tcW w:w="139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[12-15)</w:t>
            </w:r>
          </w:p>
        </w:tc>
        <w:tc>
          <w:tcPr>
            <w:tcW w:w="119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8"/>
          <w:szCs w:val="28"/>
          <w:highlight w:val="none"/>
          <w:lang w:eastAsia="zh-CN"/>
        </w:rPr>
      </w:pP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8"/>
          <w:szCs w:val="28"/>
          <w:highlight w:val="none"/>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3-8</w:t>
      </w:r>
      <w:r>
        <w:rPr>
          <w:rFonts w:hint="eastAsia" w:ascii="仿宋_GB2312" w:hAnsi="宋体" w:eastAsia="仿宋_GB2312"/>
          <w:b/>
          <w:sz w:val="24"/>
        </w:rPr>
        <w:t xml:space="preserve">   </w:t>
      </w:r>
      <w:r>
        <w:rPr>
          <w:rFonts w:hint="eastAsia" w:ascii="仿宋_GB2312" w:hAnsi="宋体" w:eastAsia="仿宋_GB2312"/>
          <w:b/>
          <w:sz w:val="24"/>
          <w:lang w:val="en-US" w:eastAsia="zh-CN"/>
        </w:rPr>
        <w:t>IV</w:t>
      </w:r>
      <w:r>
        <w:rPr>
          <w:rFonts w:hint="eastAsia" w:ascii="仿宋_GB2312" w:hAnsi="宋体" w:eastAsia="仿宋_GB2312"/>
          <w:b/>
          <w:sz w:val="24"/>
        </w:rPr>
        <w:t>级</w:t>
      </w:r>
      <w:r>
        <w:rPr>
          <w:rFonts w:hint="eastAsia" w:ascii="仿宋_GB2312" w:hAnsi="宋体" w:eastAsia="仿宋_GB2312"/>
          <w:b/>
          <w:sz w:val="24"/>
          <w:lang w:eastAsia="zh-CN"/>
        </w:rPr>
        <w:t>商业服务业用地</w:t>
      </w:r>
      <w:r>
        <w:rPr>
          <w:rFonts w:hint="eastAsia" w:ascii="仿宋_GB2312" w:hAnsi="宋体" w:eastAsia="仿宋_GB2312"/>
          <w:b/>
          <w:sz w:val="24"/>
        </w:rPr>
        <w:t>地价区位因素及个别因素修正系数表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1100"/>
        <w:gridCol w:w="1101"/>
        <w:gridCol w:w="1101"/>
        <w:gridCol w:w="1101"/>
        <w:gridCol w:w="11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100"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道路类型</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0.09</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0.0204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交通便捷度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供水</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排水</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供暖</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人口密度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宋体"/>
                <w:sz w:val="15"/>
                <w:szCs w:val="15"/>
                <w:lang w:val="en-US" w:eastAsia="zh-CN" w:bidi="ar-SA"/>
              </w:rPr>
            </w:pPr>
            <w:r>
              <w:rPr>
                <w:rFonts w:hint="default" w:ascii="仿宋_GB2312" w:hAnsi="宋体" w:eastAsia="仿宋_GB2312" w:cs="仿宋_GB2312"/>
                <w:i w:val="0"/>
                <w:iCs w:val="0"/>
                <w:color w:val="000000"/>
                <w:kern w:val="0"/>
                <w:sz w:val="15"/>
                <w:szCs w:val="15"/>
                <w:u w:val="none"/>
                <w:lang w:val="en-US" w:eastAsia="zh-CN" w:bidi="ar"/>
              </w:rPr>
              <w:t>距商服中心距离</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0.13</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0.0294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-0.0135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距汽车站距离</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距火车站距离</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宗地形状</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宗地面积</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宗地临街道路等级与通达性</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临街宽度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118"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sz w:val="15"/>
                <w:szCs w:val="15"/>
              </w:rPr>
            </w:pPr>
            <w:r>
              <w:rPr>
                <w:rFonts w:hint="default" w:ascii="仿宋_GB2312" w:hAnsi="宋体" w:eastAsia="仿宋_GB2312" w:cs="仿宋_GB2312"/>
                <w:i w:val="0"/>
                <w:iCs w:val="0"/>
                <w:color w:val="000000"/>
                <w:kern w:val="0"/>
                <w:sz w:val="15"/>
                <w:szCs w:val="15"/>
                <w:u w:val="none"/>
                <w:lang w:val="en-US" w:eastAsia="zh-CN" w:bidi="ar"/>
              </w:rPr>
              <w:t>临街深度</w:t>
            </w:r>
          </w:p>
        </w:tc>
        <w:tc>
          <w:tcPr>
            <w:tcW w:w="1100"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等线"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-0.0104 </w:t>
            </w:r>
          </w:p>
        </w:tc>
      </w:tr>
    </w:tbl>
    <w:p>
      <w:pPr>
        <w:keepNext w:val="0"/>
        <w:keepLines w:val="0"/>
        <w:pageBreakBefore w:val="0"/>
        <w:widowControl/>
        <w:kinsoku/>
        <w:wordWrap/>
        <w:overflowPunct/>
        <w:topLinePunct w:val="0"/>
        <w:autoSpaceDE/>
        <w:autoSpaceDN/>
        <w:bidi w:val="0"/>
        <w:adjustRightInd w:val="0"/>
        <w:snapToGrid w:val="0"/>
        <w:spacing w:line="360" w:lineRule="auto"/>
        <w:ind w:firstLine="0" w:firstLineChars="0"/>
        <w:textAlignment w:val="auto"/>
        <w:rPr>
          <w:rFonts w:hint="eastAsia" w:ascii="仿宋_GB2312" w:hAnsi="宋体" w:eastAsia="仿宋_GB2312"/>
          <w:b w:val="0"/>
          <w:bCs/>
          <w:sz w:val="28"/>
          <w:szCs w:val="28"/>
          <w:highlight w:val="none"/>
        </w:rPr>
        <w:sectPr>
          <w:pgSz w:w="11907" w:h="16840"/>
          <w:pgMar w:top="1701" w:right="1701" w:bottom="1701" w:left="1701" w:header="1134" w:footer="1021" w:gutter="0"/>
          <w:pgNumType w:fmt="decimal"/>
          <w:cols w:space="720" w:num="1"/>
          <w:docGrid w:linePitch="271" w:charSpace="0"/>
        </w:sectPr>
      </w:pPr>
    </w:p>
    <w:p>
      <w:pPr>
        <w:keepNext w:val="0"/>
        <w:keepLines w:val="0"/>
        <w:pageBreakBefore w:val="0"/>
        <w:widowControl/>
        <w:kinsoku/>
        <w:wordWrap/>
        <w:overflowPunct/>
        <w:topLinePunct w:val="0"/>
        <w:autoSpaceDE/>
        <w:autoSpaceDN/>
        <w:bidi w:val="0"/>
        <w:adjustRightInd w:val="0"/>
        <w:snapToGrid w:val="0"/>
        <w:spacing w:line="360" w:lineRule="auto"/>
        <w:ind w:firstLine="0" w:firstLineChars="0"/>
        <w:textAlignment w:val="auto"/>
        <w:rPr>
          <w:rFonts w:hint="eastAsia" w:ascii="仿宋_GB2312" w:eastAsia="仿宋_GB2312"/>
          <w:sz w:val="28"/>
          <w:szCs w:val="28"/>
          <w:highlight w:val="none"/>
        </w:rPr>
      </w:pPr>
      <w:r>
        <w:rPr>
          <w:rFonts w:hint="eastAsia" w:ascii="仿宋_GB2312" w:hAnsi="宋体" w:eastAsia="仿宋_GB2312"/>
          <w:b w:val="0"/>
          <w:bCs/>
          <w:sz w:val="28"/>
          <w:szCs w:val="28"/>
          <w:highlight w:val="none"/>
        </w:rPr>
        <w:t>（</w:t>
      </w:r>
      <w:r>
        <w:rPr>
          <w:rFonts w:hint="eastAsia" w:ascii="仿宋_GB2312" w:hAnsi="宋体" w:eastAsia="仿宋_GB2312"/>
          <w:b w:val="0"/>
          <w:bCs/>
          <w:sz w:val="28"/>
          <w:szCs w:val="28"/>
          <w:highlight w:val="none"/>
          <w:lang w:val="en-US" w:eastAsia="zh-CN"/>
        </w:rPr>
        <w:t>2</w:t>
      </w:r>
      <w:r>
        <w:rPr>
          <w:rFonts w:hint="eastAsia" w:ascii="仿宋_GB2312" w:hAnsi="宋体" w:eastAsia="仿宋_GB2312"/>
          <w:b w:val="0"/>
          <w:bCs/>
          <w:sz w:val="28"/>
          <w:szCs w:val="28"/>
          <w:highlight w:val="none"/>
        </w:rPr>
        <w:t>）</w:t>
      </w:r>
      <w:r>
        <w:rPr>
          <w:rFonts w:hint="eastAsia" w:ascii="仿宋_GB2312" w:hAnsi="宋体" w:eastAsia="仿宋_GB2312"/>
          <w:b w:val="0"/>
          <w:bCs/>
          <w:kern w:val="2"/>
          <w:sz w:val="28"/>
          <w:szCs w:val="28"/>
          <w:highlight w:val="none"/>
          <w:lang w:eastAsia="zh-CN"/>
        </w:rPr>
        <w:t>居住用地</w:t>
      </w:r>
      <w:r>
        <w:rPr>
          <w:rFonts w:hint="eastAsia" w:ascii="仿宋_GB2312" w:hAnsi="宋体" w:eastAsia="仿宋_GB2312"/>
          <w:b w:val="0"/>
          <w:bCs/>
          <w:kern w:val="2"/>
          <w:sz w:val="28"/>
          <w:szCs w:val="28"/>
          <w:highlight w:val="none"/>
        </w:rPr>
        <w:t>地价影响因素指标说明表及修正系数表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3-9</w:t>
      </w:r>
      <w:r>
        <w:rPr>
          <w:rFonts w:hint="eastAsia" w:ascii="仿宋_GB2312" w:hAnsi="宋体" w:eastAsia="仿宋_GB2312"/>
          <w:b/>
          <w:sz w:val="24"/>
        </w:rPr>
        <w:t xml:space="preserve">  Ⅰ级</w:t>
      </w:r>
      <w:r>
        <w:rPr>
          <w:rFonts w:hint="eastAsia" w:ascii="仿宋_GB2312" w:hAnsi="宋体" w:eastAsia="仿宋_GB2312"/>
          <w:b/>
          <w:sz w:val="24"/>
          <w:lang w:eastAsia="zh-CN"/>
        </w:rPr>
        <w:t>居住用地</w:t>
      </w:r>
      <w:r>
        <w:rPr>
          <w:rFonts w:hint="eastAsia" w:ascii="仿宋_GB2312" w:hAnsi="宋体" w:eastAsia="仿宋_GB2312"/>
          <w:b/>
          <w:sz w:val="24"/>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42"/>
        <w:gridCol w:w="1801"/>
        <w:gridCol w:w="1198"/>
        <w:gridCol w:w="1183"/>
        <w:gridCol w:w="1312"/>
        <w:gridCol w:w="1400"/>
        <w:gridCol w:w="1185"/>
      </w:tblGrid>
      <w:tr>
        <w:tblPrEx>
          <w:tblCellMar>
            <w:top w:w="0" w:type="dxa"/>
            <w:left w:w="108" w:type="dxa"/>
            <w:bottom w:w="0" w:type="dxa"/>
            <w:right w:w="108" w:type="dxa"/>
          </w:tblCellMar>
        </w:tblPrEx>
        <w:trPr>
          <w:trHeight w:val="255" w:hRule="atLeast"/>
          <w:jc w:val="center"/>
        </w:trPr>
        <w:tc>
          <w:tcPr>
            <w:tcW w:w="244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影响因素</w:t>
            </w:r>
          </w:p>
        </w:tc>
        <w:tc>
          <w:tcPr>
            <w:tcW w:w="119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优</w:t>
            </w:r>
          </w:p>
        </w:tc>
        <w:tc>
          <w:tcPr>
            <w:tcW w:w="11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较优</w:t>
            </w:r>
          </w:p>
        </w:tc>
        <w:tc>
          <w:tcPr>
            <w:tcW w:w="13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一般</w:t>
            </w:r>
          </w:p>
        </w:tc>
        <w:tc>
          <w:tcPr>
            <w:tcW w:w="14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较劣</w:t>
            </w:r>
          </w:p>
        </w:tc>
        <w:tc>
          <w:tcPr>
            <w:tcW w:w="11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劣</w:t>
            </w:r>
          </w:p>
        </w:tc>
      </w:tr>
      <w:tr>
        <w:tblPrEx>
          <w:tblCellMar>
            <w:top w:w="0" w:type="dxa"/>
            <w:left w:w="108" w:type="dxa"/>
            <w:bottom w:w="0" w:type="dxa"/>
            <w:right w:w="108" w:type="dxa"/>
          </w:tblCellMar>
        </w:tblPrEx>
        <w:trPr>
          <w:trHeight w:val="255" w:hRule="atLeast"/>
          <w:jc w:val="center"/>
        </w:trPr>
        <w:tc>
          <w:tcPr>
            <w:tcW w:w="642"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因素</w:t>
            </w: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距商服中心距离（米）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(100—300]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(500—700]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&gt;700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道路类型</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混合型主干道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生活型主干道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生活型次干道或交通型主干道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道路通达性较差</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道路通达性差</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交通便捷度</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道路交通运行顺畅、车辆可以自由行驶、乘客舒适程度较高</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车辆可以较高速行驶、乘客舒适程度较高</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道路交通流量较大、车速较慢、且交通处于不稳定流状态</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道路交通流量较大、车速慢、且交通处于停滞流状态</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90"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集中供水充足、保证率98%以上</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集中供水较充足、保证率98%-95%</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集中供水基本充足、保证率90%-95%</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集中供水保证率低、保证率90%以下</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无集中供水</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排水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有雨排和污排且通畅</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有雨排和污排基本通畅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只有污排</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只有雨排</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无排水系统</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供暖</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位于主管道两侧</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距主管道100米以内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距主管道200米以内</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位于支线管道两侧</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无集中供热</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人口密度（人/平方千米）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[400-500)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[300-400)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p>
        </w:tc>
        <w:tc>
          <w:tcPr>
            <w:tcW w:w="180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银行</w:t>
            </w:r>
            <w:r>
              <w:rPr>
                <w:rFonts w:hint="eastAsia" w:ascii="仿宋_GB2312" w:hAnsi="宋体" w:eastAsia="仿宋_GB2312" w:cs="Times New Roman"/>
                <w:sz w:val="15"/>
                <w:szCs w:val="15"/>
                <w:lang w:eastAsia="zh-CN"/>
              </w:rPr>
              <w:t>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(500—700]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(700—1000]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距小学距离（米）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(500—800]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(800—1000]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&gt;1300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距中学距离（米）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距医院距离（米）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距文体场馆距离</w:t>
            </w:r>
            <w:r>
              <w:rPr>
                <w:rFonts w:hint="eastAsia" w:ascii="仿宋_GB2312" w:hAnsi="宋体" w:eastAsia="仿宋_GB2312" w:cs="Times New Roman"/>
                <w:sz w:val="15"/>
                <w:szCs w:val="15"/>
                <w:lang w:val="en-US" w:eastAsia="zh-CN"/>
              </w:rPr>
              <w:t>/广场距离</w:t>
            </w:r>
            <w:r>
              <w:rPr>
                <w:rFonts w:hint="eastAsia" w:ascii="仿宋_GB2312" w:hAnsi="宋体" w:eastAsia="仿宋_GB2312" w:cs="Times New Roman"/>
                <w:sz w:val="15"/>
                <w:szCs w:val="15"/>
                <w:lang w:eastAsia="zh-CN"/>
              </w:rPr>
              <w:t>（米）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环境条件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环境优良，无污染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环境良好，基本无污染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环境一般，轻度污染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环境较差，污染较重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环境差，严重污染</w:t>
            </w:r>
          </w:p>
        </w:tc>
      </w:tr>
      <w:tr>
        <w:tblPrEx>
          <w:tblCellMar>
            <w:top w:w="0" w:type="dxa"/>
            <w:left w:w="108" w:type="dxa"/>
            <w:bottom w:w="0" w:type="dxa"/>
            <w:right w:w="108" w:type="dxa"/>
          </w:tblCellMar>
        </w:tblPrEx>
        <w:trPr>
          <w:trHeight w:val="255" w:hRule="atLeast"/>
          <w:jc w:val="center"/>
        </w:trPr>
        <w:tc>
          <w:tcPr>
            <w:tcW w:w="642" w:type="dxa"/>
            <w:vMerge w:val="restart"/>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个别因素</w:t>
            </w:r>
          </w:p>
        </w:tc>
        <w:tc>
          <w:tcPr>
            <w:tcW w:w="180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面积适中，对土地利用有利</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面积对土地利用较为有利</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面积对土地利用无不良影响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面积较小，对土地利用有一定影响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面积过小，对土地利用产生不利影响</w:t>
            </w:r>
          </w:p>
        </w:tc>
      </w:tr>
      <w:tr>
        <w:tblPrEx>
          <w:tblCellMar>
            <w:top w:w="0" w:type="dxa"/>
            <w:left w:w="108" w:type="dxa"/>
            <w:bottom w:w="0" w:type="dxa"/>
            <w:right w:w="108" w:type="dxa"/>
          </w:tblCellMar>
        </w:tblPrEx>
        <w:trPr>
          <w:trHeight w:val="255" w:hRule="atLeast"/>
          <w:jc w:val="center"/>
        </w:trPr>
        <w:tc>
          <w:tcPr>
            <w:tcW w:w="642" w:type="dxa"/>
            <w:vMerge w:val="continue"/>
            <w:tcBorders>
              <w:top w:val="nil"/>
              <w:left w:val="single" w:color="auto" w:sz="4" w:space="0"/>
              <w:bottom w:val="single" w:color="000000"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rPr>
                <w:rFonts w:hint="eastAsia" w:ascii="仿宋_GB2312" w:hAnsi="宋体" w:eastAsia="仿宋_GB2312" w:cs="宋体"/>
                <w:sz w:val="15"/>
                <w:szCs w:val="15"/>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宗地面积</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宗地形状规则，利于土地利用</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宗地形状较规则，较利于土地利用</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宗地形状一般，利于土地利用无影响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宗地形状较不规则，对土地利用有一定影响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宗地形状不规则，不利于土地利用</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3-11</w:t>
      </w:r>
      <w:r>
        <w:rPr>
          <w:rFonts w:hint="eastAsia" w:ascii="仿宋_GB2312" w:hAnsi="宋体" w:eastAsia="仿宋_GB2312"/>
          <w:b/>
          <w:sz w:val="24"/>
        </w:rPr>
        <w:t xml:space="preserve"> Ⅰ级</w:t>
      </w:r>
      <w:r>
        <w:rPr>
          <w:rFonts w:hint="eastAsia" w:ascii="仿宋_GB2312" w:hAnsi="宋体" w:eastAsia="仿宋_GB2312"/>
          <w:b/>
          <w:sz w:val="24"/>
          <w:lang w:eastAsia="zh-CN"/>
        </w:rPr>
        <w:t>居住用地</w:t>
      </w:r>
      <w:r>
        <w:rPr>
          <w:rFonts w:hint="eastAsia" w:ascii="仿宋_GB2312" w:hAnsi="宋体" w:eastAsia="仿宋_GB2312"/>
          <w:b/>
          <w:sz w:val="24"/>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3"/>
        <w:gridCol w:w="1101"/>
        <w:gridCol w:w="1101"/>
        <w:gridCol w:w="1101"/>
        <w:gridCol w:w="1101"/>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3"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距商服中心距离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道路类型</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交通便捷度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供水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排水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供热</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人口密度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距银行距离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小学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中学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距医院距离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距文体场馆距离/广场距离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环境条件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宗地形状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宗地面积</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-0.0094 </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sectPr>
          <w:pgSz w:w="11907" w:h="16840"/>
          <w:pgMar w:top="1701" w:right="1701" w:bottom="1701" w:left="1701" w:header="1134" w:footer="1021" w:gutter="0"/>
          <w:pgNumType w:fmt="decimal"/>
          <w:cols w:space="720" w:num="1"/>
          <w:docGrid w:linePitch="271" w:charSpace="0"/>
        </w:sect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rPr>
      </w:pPr>
      <w:r>
        <w:rPr>
          <w:rFonts w:hint="eastAsia" w:ascii="仿宋_GB2312" w:hAnsi="宋体" w:eastAsia="仿宋_GB2312"/>
          <w:b/>
          <w:sz w:val="24"/>
        </w:rPr>
        <w:t>表</w:t>
      </w:r>
      <w:r>
        <w:rPr>
          <w:rFonts w:hint="eastAsia" w:ascii="仿宋_GB2312" w:hAnsi="宋体" w:eastAsia="仿宋_GB2312"/>
          <w:b/>
          <w:sz w:val="24"/>
          <w:lang w:val="en-US" w:eastAsia="zh-CN"/>
        </w:rPr>
        <w:t>3-10</w:t>
      </w:r>
      <w:r>
        <w:rPr>
          <w:rFonts w:hint="eastAsia" w:ascii="仿宋_GB2312" w:hAnsi="宋体" w:eastAsia="仿宋_GB2312"/>
          <w:b/>
          <w:sz w:val="24"/>
        </w:rPr>
        <w:t xml:space="preserve">   Ⅱ级</w:t>
      </w:r>
      <w:r>
        <w:rPr>
          <w:rFonts w:hint="eastAsia" w:ascii="仿宋_GB2312" w:hAnsi="宋体" w:eastAsia="仿宋_GB2312"/>
          <w:b/>
          <w:sz w:val="24"/>
          <w:lang w:eastAsia="zh-CN"/>
        </w:rPr>
        <w:t>居住用地</w:t>
      </w:r>
      <w:r>
        <w:rPr>
          <w:rFonts w:hint="eastAsia" w:ascii="仿宋_GB2312" w:hAnsi="宋体" w:eastAsia="仿宋_GB2312"/>
          <w:b/>
          <w:sz w:val="24"/>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42"/>
        <w:gridCol w:w="1801"/>
        <w:gridCol w:w="1198"/>
        <w:gridCol w:w="1183"/>
        <w:gridCol w:w="1312"/>
        <w:gridCol w:w="1400"/>
        <w:gridCol w:w="1185"/>
      </w:tblGrid>
      <w:tr>
        <w:tblPrEx>
          <w:tblCellMar>
            <w:top w:w="0" w:type="dxa"/>
            <w:left w:w="108" w:type="dxa"/>
            <w:bottom w:w="0" w:type="dxa"/>
            <w:right w:w="108" w:type="dxa"/>
          </w:tblCellMar>
        </w:tblPrEx>
        <w:trPr>
          <w:trHeight w:val="255" w:hRule="atLeast"/>
          <w:jc w:val="center"/>
        </w:trPr>
        <w:tc>
          <w:tcPr>
            <w:tcW w:w="244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影响因素</w:t>
            </w:r>
          </w:p>
        </w:tc>
        <w:tc>
          <w:tcPr>
            <w:tcW w:w="119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优</w:t>
            </w:r>
          </w:p>
        </w:tc>
        <w:tc>
          <w:tcPr>
            <w:tcW w:w="11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较优</w:t>
            </w:r>
          </w:p>
        </w:tc>
        <w:tc>
          <w:tcPr>
            <w:tcW w:w="13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一般</w:t>
            </w:r>
          </w:p>
        </w:tc>
        <w:tc>
          <w:tcPr>
            <w:tcW w:w="14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较劣</w:t>
            </w:r>
          </w:p>
        </w:tc>
        <w:tc>
          <w:tcPr>
            <w:tcW w:w="11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劣</w:t>
            </w:r>
          </w:p>
        </w:tc>
      </w:tr>
      <w:tr>
        <w:tblPrEx>
          <w:tblCellMar>
            <w:top w:w="0" w:type="dxa"/>
            <w:left w:w="108" w:type="dxa"/>
            <w:bottom w:w="0" w:type="dxa"/>
            <w:right w:w="108" w:type="dxa"/>
          </w:tblCellMar>
        </w:tblPrEx>
        <w:trPr>
          <w:trHeight w:val="255" w:hRule="atLeast"/>
          <w:jc w:val="center"/>
        </w:trPr>
        <w:tc>
          <w:tcPr>
            <w:tcW w:w="642"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因素</w:t>
            </w: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距商服中心距离（米）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35</w:t>
            </w:r>
            <w:r>
              <w:rPr>
                <w:rFonts w:hint="eastAsia" w:ascii="仿宋_GB2312" w:hAnsi="宋体" w:eastAsia="仿宋_GB2312" w:cs="Times New Roman"/>
                <w:sz w:val="15"/>
                <w:szCs w:val="15"/>
                <w:lang w:eastAsia="zh-CN"/>
              </w:rPr>
              <w:t>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35</w:t>
            </w:r>
            <w:r>
              <w:rPr>
                <w:rFonts w:hint="eastAsia" w:ascii="仿宋_GB2312" w:hAnsi="宋体" w:eastAsia="仿宋_GB2312" w:cs="Times New Roman"/>
                <w:sz w:val="15"/>
                <w:szCs w:val="15"/>
                <w:lang w:eastAsia="zh-CN"/>
              </w:rPr>
              <w:t>0</w:t>
            </w:r>
            <w:r>
              <w:rPr>
                <w:rFonts w:hint="eastAsia" w:ascii="仿宋_GB2312" w:hAnsi="宋体" w:eastAsia="仿宋_GB2312" w:cs="Times New Roman"/>
                <w:sz w:val="15"/>
                <w:szCs w:val="15"/>
                <w:lang w:val="en-US" w:eastAsia="zh-CN"/>
              </w:rPr>
              <w:t>-650</w:t>
            </w:r>
            <w:r>
              <w:rPr>
                <w:rFonts w:hint="eastAsia" w:ascii="仿宋_GB2312" w:hAnsi="宋体" w:eastAsia="仿宋_GB2312" w:cs="Times New Roman"/>
                <w:sz w:val="15"/>
                <w:szCs w:val="15"/>
                <w:lang w:eastAsia="zh-CN"/>
              </w:rPr>
              <w:t>]</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650-950</w:t>
            </w:r>
            <w:r>
              <w:rPr>
                <w:rFonts w:hint="eastAsia" w:ascii="仿宋_GB2312" w:hAnsi="宋体" w:eastAsia="仿宋_GB2312" w:cs="Times New Roman"/>
                <w:sz w:val="15"/>
                <w:szCs w:val="15"/>
                <w:lang w:eastAsia="zh-CN"/>
              </w:rPr>
              <w:t>]</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(950-1100]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w:t>
            </w:r>
            <w:r>
              <w:rPr>
                <w:rFonts w:hint="eastAsia" w:ascii="仿宋_GB2312" w:hAnsi="宋体" w:eastAsia="仿宋_GB2312" w:cs="Times New Roman"/>
                <w:sz w:val="15"/>
                <w:szCs w:val="15"/>
                <w:lang w:val="en-US" w:eastAsia="zh-CN"/>
              </w:rPr>
              <w:t>11</w:t>
            </w:r>
            <w:r>
              <w:rPr>
                <w:rFonts w:hint="eastAsia" w:ascii="仿宋_GB2312" w:hAnsi="宋体" w:eastAsia="仿宋_GB2312" w:cs="Times New Roman"/>
                <w:sz w:val="15"/>
                <w:szCs w:val="15"/>
                <w:lang w:eastAsia="zh-CN"/>
              </w:rPr>
              <w:t>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道路类型</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混合型主干道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生活型主干道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生活型次干道或交通型主干道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道路通达性较差</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道路通达性差</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交通便捷度</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道路交通运行顺畅、车辆可以自由行驶、乘客舒适程度较高</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车辆可以较高速行驶、乘客舒适程度较高</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道路交通流量较大、车速较慢、且交通处于不稳定流状态</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道路交通流量较大、车速慢、且交通处于停滞流状态</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集中供水充足、保证率98%以上</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集中供水较充足、保证率98%-95%</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集中供水基本充足、保证率90%-95%</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集中供水保证率低、保证率90%以下</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无集中供水</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排水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有雨排和污排且通畅</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有雨排和污排基本通畅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只有污排</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只有雨排</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无排水系统</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供暖</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位于主管道两侧</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距主管道100米以内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距主管道200米以内</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位于支线管道两侧</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无集中供热</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人口密度（人/平方千米）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[400-500)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[300-400)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银行</w:t>
            </w:r>
            <w:r>
              <w:rPr>
                <w:rFonts w:hint="eastAsia" w:ascii="仿宋_GB2312" w:hAnsi="宋体" w:eastAsia="仿宋_GB2312" w:cs="Times New Roman"/>
                <w:sz w:val="15"/>
                <w:szCs w:val="15"/>
                <w:lang w:eastAsia="zh-CN"/>
              </w:rPr>
              <w:t>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(500—700]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(700—1000]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距小学距离（米）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(500—800]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(800—1000]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&gt;1300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距中学距离（米）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距医院距离（米）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距文体场馆距离</w:t>
            </w:r>
            <w:r>
              <w:rPr>
                <w:rFonts w:hint="eastAsia" w:ascii="仿宋_GB2312" w:hAnsi="宋体" w:eastAsia="仿宋_GB2312" w:cs="Times New Roman"/>
                <w:sz w:val="15"/>
                <w:szCs w:val="15"/>
                <w:lang w:val="en-US" w:eastAsia="zh-CN"/>
              </w:rPr>
              <w:t>/广场距离</w:t>
            </w:r>
            <w:r>
              <w:rPr>
                <w:rFonts w:hint="eastAsia" w:ascii="仿宋_GB2312" w:hAnsi="宋体" w:eastAsia="仿宋_GB2312" w:cs="Times New Roman"/>
                <w:sz w:val="15"/>
                <w:szCs w:val="15"/>
                <w:lang w:eastAsia="zh-CN"/>
              </w:rPr>
              <w:t>（米）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环境条件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环境优良，无污染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环境良好，基本无污染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环境一般，轻度污染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环境较差，污染较重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环境差，严重污染</w:t>
            </w:r>
          </w:p>
        </w:tc>
      </w:tr>
      <w:tr>
        <w:tblPrEx>
          <w:tblCellMar>
            <w:top w:w="0" w:type="dxa"/>
            <w:left w:w="108" w:type="dxa"/>
            <w:bottom w:w="0" w:type="dxa"/>
            <w:right w:w="108" w:type="dxa"/>
          </w:tblCellMar>
        </w:tblPrEx>
        <w:trPr>
          <w:trHeight w:val="255" w:hRule="atLeast"/>
          <w:jc w:val="center"/>
        </w:trPr>
        <w:tc>
          <w:tcPr>
            <w:tcW w:w="642" w:type="dxa"/>
            <w:vMerge w:val="restart"/>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个别因素</w:t>
            </w:r>
          </w:p>
        </w:tc>
        <w:tc>
          <w:tcPr>
            <w:tcW w:w="180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面积适中，对土地利用有利</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面积对土地利用较为有利</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面积对土地利用无不良影响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面积较小，对土地利用有一定影响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面积过小，对土地利用产生不利影响</w:t>
            </w:r>
          </w:p>
        </w:tc>
      </w:tr>
      <w:tr>
        <w:tblPrEx>
          <w:tblCellMar>
            <w:top w:w="0" w:type="dxa"/>
            <w:left w:w="108" w:type="dxa"/>
            <w:bottom w:w="0" w:type="dxa"/>
            <w:right w:w="108" w:type="dxa"/>
          </w:tblCellMar>
        </w:tblPrEx>
        <w:trPr>
          <w:trHeight w:val="255" w:hRule="atLeast"/>
          <w:jc w:val="center"/>
        </w:trPr>
        <w:tc>
          <w:tcPr>
            <w:tcW w:w="642" w:type="dxa"/>
            <w:vMerge w:val="continue"/>
            <w:tcBorders>
              <w:top w:val="nil"/>
              <w:left w:val="single" w:color="auto" w:sz="4" w:space="0"/>
              <w:bottom w:val="single" w:color="000000"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宗地面积</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宗地形状规则，利于土地利用</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宗地形状较规则，较利于土地利用</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宗地形状一般，利于土地利用无影响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宗地形状较不规则，对土地利用有一定影响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宗地形状不规则，不利于土地利用</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3-12</w:t>
      </w:r>
      <w:r>
        <w:rPr>
          <w:rFonts w:hint="eastAsia" w:ascii="仿宋_GB2312" w:hAnsi="宋体" w:eastAsia="仿宋_GB2312"/>
          <w:b/>
          <w:sz w:val="24"/>
        </w:rPr>
        <w:t xml:space="preserve">  Ⅱ级</w:t>
      </w:r>
      <w:r>
        <w:rPr>
          <w:rFonts w:hint="eastAsia" w:ascii="仿宋_GB2312" w:hAnsi="宋体" w:eastAsia="仿宋_GB2312"/>
          <w:b/>
          <w:sz w:val="24"/>
          <w:lang w:eastAsia="zh-CN"/>
        </w:rPr>
        <w:t>居住用地</w:t>
      </w:r>
      <w:r>
        <w:rPr>
          <w:rFonts w:hint="eastAsia" w:ascii="仿宋_GB2312" w:hAnsi="宋体" w:eastAsia="仿宋_GB2312"/>
          <w:b/>
          <w:sz w:val="24"/>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3"/>
        <w:gridCol w:w="1101"/>
        <w:gridCol w:w="1101"/>
        <w:gridCol w:w="1101"/>
        <w:gridCol w:w="1101"/>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3"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距商服中心距离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道路类型</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交通便捷度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供水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排水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供暖</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人口密度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距银行距离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小学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中学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距医院距离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距文体场馆距离/广场距离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环境条件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宗地形状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宗地面积</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sectPr>
          <w:pgSz w:w="11907" w:h="16840"/>
          <w:pgMar w:top="1701" w:right="1701" w:bottom="1701" w:left="1701" w:header="1134" w:footer="1021" w:gutter="0"/>
          <w:pgNumType w:fmt="decimal"/>
          <w:cols w:space="720" w:num="1"/>
          <w:docGrid w:linePitch="271" w:charSpace="0"/>
        </w:sect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rPr>
      </w:pPr>
      <w:r>
        <w:rPr>
          <w:rFonts w:hint="eastAsia" w:ascii="仿宋_GB2312" w:hAnsi="宋体" w:eastAsia="仿宋_GB2312"/>
          <w:b/>
          <w:sz w:val="24"/>
        </w:rPr>
        <w:t>表</w:t>
      </w:r>
      <w:r>
        <w:rPr>
          <w:rFonts w:hint="eastAsia" w:ascii="仿宋_GB2312" w:hAnsi="宋体" w:eastAsia="仿宋_GB2312"/>
          <w:b/>
          <w:sz w:val="24"/>
          <w:lang w:val="en-US" w:eastAsia="zh-CN"/>
        </w:rPr>
        <w:t>3-13</w:t>
      </w:r>
      <w:r>
        <w:rPr>
          <w:rFonts w:hint="eastAsia" w:ascii="仿宋_GB2312" w:hAnsi="宋体" w:eastAsia="仿宋_GB2312"/>
          <w:b/>
          <w:sz w:val="24"/>
        </w:rPr>
        <w:t xml:space="preserve">  </w:t>
      </w:r>
      <w:r>
        <w:rPr>
          <w:rFonts w:hint="eastAsia" w:ascii="仿宋" w:hAnsi="仿宋" w:eastAsia="仿宋"/>
          <w:b/>
          <w:sz w:val="24"/>
        </w:rPr>
        <w:t>Ⅲ</w:t>
      </w:r>
      <w:r>
        <w:rPr>
          <w:rFonts w:hint="eastAsia" w:ascii="仿宋_GB2312" w:hAnsi="宋体" w:eastAsia="仿宋_GB2312"/>
          <w:b/>
          <w:sz w:val="24"/>
        </w:rPr>
        <w:t>级</w:t>
      </w:r>
      <w:r>
        <w:rPr>
          <w:rFonts w:hint="eastAsia" w:ascii="仿宋_GB2312" w:hAnsi="宋体" w:eastAsia="仿宋_GB2312"/>
          <w:b/>
          <w:sz w:val="24"/>
          <w:lang w:eastAsia="zh-CN"/>
        </w:rPr>
        <w:t>居住用地</w:t>
      </w:r>
      <w:r>
        <w:rPr>
          <w:rFonts w:hint="eastAsia" w:ascii="仿宋_GB2312" w:hAnsi="宋体" w:eastAsia="仿宋_GB2312"/>
          <w:b/>
          <w:sz w:val="24"/>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42"/>
        <w:gridCol w:w="1801"/>
        <w:gridCol w:w="1198"/>
        <w:gridCol w:w="1183"/>
        <w:gridCol w:w="1312"/>
        <w:gridCol w:w="1400"/>
        <w:gridCol w:w="1185"/>
      </w:tblGrid>
      <w:tr>
        <w:tblPrEx>
          <w:tblCellMar>
            <w:top w:w="0" w:type="dxa"/>
            <w:left w:w="108" w:type="dxa"/>
            <w:bottom w:w="0" w:type="dxa"/>
            <w:right w:w="108" w:type="dxa"/>
          </w:tblCellMar>
        </w:tblPrEx>
        <w:trPr>
          <w:trHeight w:val="283" w:hRule="atLeast"/>
          <w:jc w:val="center"/>
        </w:trPr>
        <w:tc>
          <w:tcPr>
            <w:tcW w:w="244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影响因素</w:t>
            </w:r>
          </w:p>
        </w:tc>
        <w:tc>
          <w:tcPr>
            <w:tcW w:w="119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优</w:t>
            </w:r>
          </w:p>
        </w:tc>
        <w:tc>
          <w:tcPr>
            <w:tcW w:w="11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较优</w:t>
            </w:r>
          </w:p>
        </w:tc>
        <w:tc>
          <w:tcPr>
            <w:tcW w:w="13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一般</w:t>
            </w:r>
          </w:p>
        </w:tc>
        <w:tc>
          <w:tcPr>
            <w:tcW w:w="14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较劣</w:t>
            </w:r>
          </w:p>
        </w:tc>
        <w:tc>
          <w:tcPr>
            <w:tcW w:w="11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劣</w:t>
            </w:r>
          </w:p>
        </w:tc>
      </w:tr>
      <w:tr>
        <w:tblPrEx>
          <w:tblCellMar>
            <w:top w:w="0" w:type="dxa"/>
            <w:left w:w="108" w:type="dxa"/>
            <w:bottom w:w="0" w:type="dxa"/>
            <w:right w:w="108" w:type="dxa"/>
          </w:tblCellMar>
        </w:tblPrEx>
        <w:trPr>
          <w:trHeight w:val="283" w:hRule="atLeast"/>
          <w:jc w:val="center"/>
        </w:trPr>
        <w:tc>
          <w:tcPr>
            <w:tcW w:w="642"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因素</w:t>
            </w: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距商服中心距离（米）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500</w:t>
            </w: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8</w:t>
            </w:r>
            <w:r>
              <w:rPr>
                <w:rFonts w:hint="eastAsia" w:ascii="仿宋_GB2312" w:hAnsi="宋体" w:eastAsia="仿宋_GB2312" w:cs="Times New Roman"/>
                <w:sz w:val="15"/>
                <w:szCs w:val="15"/>
                <w:lang w:eastAsia="zh-CN"/>
              </w:rPr>
              <w:t>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8</w:t>
            </w:r>
            <w:r>
              <w:rPr>
                <w:rFonts w:hint="eastAsia" w:ascii="仿宋_GB2312" w:hAnsi="宋体" w:eastAsia="仿宋_GB2312" w:cs="Times New Roman"/>
                <w:sz w:val="15"/>
                <w:szCs w:val="15"/>
                <w:lang w:eastAsia="zh-CN"/>
              </w:rPr>
              <w:t>00—</w:t>
            </w:r>
            <w:r>
              <w:rPr>
                <w:rFonts w:hint="eastAsia" w:ascii="仿宋_GB2312" w:hAnsi="宋体" w:eastAsia="仿宋_GB2312" w:cs="Times New Roman"/>
                <w:sz w:val="15"/>
                <w:szCs w:val="15"/>
                <w:lang w:val="en-US" w:eastAsia="zh-CN"/>
              </w:rPr>
              <w:t>100</w:t>
            </w:r>
            <w:r>
              <w:rPr>
                <w:rFonts w:hint="eastAsia" w:ascii="仿宋_GB2312" w:hAnsi="宋体" w:eastAsia="仿宋_GB2312" w:cs="Times New Roman"/>
                <w:sz w:val="15"/>
                <w:szCs w:val="15"/>
                <w:lang w:eastAsia="zh-CN"/>
              </w:rPr>
              <w:t>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100</w:t>
            </w:r>
            <w:r>
              <w:rPr>
                <w:rFonts w:hint="eastAsia" w:ascii="仿宋_GB2312" w:hAnsi="宋体" w:eastAsia="仿宋_GB2312" w:cs="Times New Roman"/>
                <w:sz w:val="15"/>
                <w:szCs w:val="15"/>
                <w:lang w:eastAsia="zh-CN"/>
              </w:rPr>
              <w:t>0—</w:t>
            </w:r>
            <w:r>
              <w:rPr>
                <w:rFonts w:hint="eastAsia" w:ascii="仿宋_GB2312" w:hAnsi="宋体" w:eastAsia="仿宋_GB2312" w:cs="Times New Roman"/>
                <w:sz w:val="15"/>
                <w:szCs w:val="15"/>
                <w:lang w:val="en-US" w:eastAsia="zh-CN"/>
              </w:rPr>
              <w:t>13</w:t>
            </w:r>
            <w:r>
              <w:rPr>
                <w:rFonts w:hint="eastAsia" w:ascii="仿宋_GB2312" w:hAnsi="宋体" w:eastAsia="仿宋_GB2312" w:cs="Times New Roman"/>
                <w:sz w:val="15"/>
                <w:szCs w:val="15"/>
                <w:lang w:eastAsia="zh-CN"/>
              </w:rPr>
              <w:t>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w:t>
            </w:r>
            <w:r>
              <w:rPr>
                <w:rFonts w:hint="eastAsia" w:ascii="仿宋_GB2312" w:hAnsi="宋体" w:eastAsia="仿宋_GB2312" w:cs="Times New Roman"/>
                <w:sz w:val="15"/>
                <w:szCs w:val="15"/>
                <w:lang w:val="en-US" w:eastAsia="zh-CN"/>
              </w:rPr>
              <w:t>13</w:t>
            </w:r>
            <w:r>
              <w:rPr>
                <w:rFonts w:hint="eastAsia" w:ascii="仿宋_GB2312" w:hAnsi="宋体" w:eastAsia="仿宋_GB2312" w:cs="Times New Roman"/>
                <w:sz w:val="15"/>
                <w:szCs w:val="15"/>
                <w:lang w:eastAsia="zh-CN"/>
              </w:rPr>
              <w:t>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道路类型</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混合型主干道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生活型主干道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生活型次干道或交通型主干道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道路通达性较差</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道路通达性差</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交通便捷度</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道路交通运行顺畅、车辆可以自由行驶、乘客舒适程度较高</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车辆可以较高速行驶、乘客舒适程度较高</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道路交通流量较大、车速较慢、且交通处于不稳定流状态</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道路交通流量较大、车速慢、且交通处于停滞流状态</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集中供水充足、保证率98%以上</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集中供水较充足、保证率98%-95%</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集中供水基本充足、保证率90%-95%</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集中供水保证率低、保证率90%以下</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无集中供水</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排水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有雨排和污排且通畅</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有雨排和污排基本通畅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只有污排</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只有雨排</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无排水系统</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供暖</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位于主管道两侧</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距主管道100米以内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距主管道200米以内</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位于支线管道两侧</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无集中供热</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人口密度（人/平方千米）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[400-500)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[300-400)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p>
        </w:tc>
        <w:tc>
          <w:tcPr>
            <w:tcW w:w="180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银行</w:t>
            </w:r>
            <w:r>
              <w:rPr>
                <w:rFonts w:hint="eastAsia" w:ascii="仿宋_GB2312" w:hAnsi="宋体" w:eastAsia="仿宋_GB2312" w:cs="Times New Roman"/>
                <w:sz w:val="15"/>
                <w:szCs w:val="15"/>
                <w:lang w:eastAsia="zh-CN"/>
              </w:rPr>
              <w:t>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(500—700]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(700—1000]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&gt;1000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距小学距离（米）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(500—800]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(800—1000]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&gt;1300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距中学距离（米）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距医院距离（米）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距文体场馆距离</w:t>
            </w:r>
            <w:r>
              <w:rPr>
                <w:rFonts w:hint="eastAsia" w:ascii="仿宋_GB2312" w:hAnsi="宋体" w:eastAsia="仿宋_GB2312" w:cs="Times New Roman"/>
                <w:sz w:val="15"/>
                <w:szCs w:val="15"/>
                <w:lang w:val="en-US" w:eastAsia="zh-CN"/>
              </w:rPr>
              <w:t>/广场距离</w:t>
            </w:r>
            <w:r>
              <w:rPr>
                <w:rFonts w:hint="eastAsia" w:ascii="仿宋_GB2312" w:hAnsi="宋体" w:eastAsia="仿宋_GB2312" w:cs="Times New Roman"/>
                <w:sz w:val="15"/>
                <w:szCs w:val="15"/>
                <w:lang w:eastAsia="zh-CN"/>
              </w:rPr>
              <w:t>（米）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环境条件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环境优良，无污染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环境良好，基本无污染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环境一般，轻度污染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环境较差，污染较重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环境差，严重污染</w:t>
            </w:r>
          </w:p>
        </w:tc>
      </w:tr>
      <w:tr>
        <w:tblPrEx>
          <w:tblCellMar>
            <w:top w:w="0" w:type="dxa"/>
            <w:left w:w="108" w:type="dxa"/>
            <w:bottom w:w="0" w:type="dxa"/>
            <w:right w:w="108" w:type="dxa"/>
          </w:tblCellMar>
        </w:tblPrEx>
        <w:trPr>
          <w:trHeight w:val="283" w:hRule="atLeast"/>
          <w:jc w:val="center"/>
        </w:trPr>
        <w:tc>
          <w:tcPr>
            <w:tcW w:w="642" w:type="dxa"/>
            <w:vMerge w:val="restart"/>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个别因素</w:t>
            </w: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面积适中，对土地利用有利</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面积对土地利用较为有利</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面积对土地利用无不良影响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面积较小，对土地利用有一定影响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面积过小，对土地利用产生不利影响</w:t>
            </w:r>
          </w:p>
        </w:tc>
      </w:tr>
      <w:tr>
        <w:tblPrEx>
          <w:tblCellMar>
            <w:top w:w="0" w:type="dxa"/>
            <w:left w:w="108" w:type="dxa"/>
            <w:bottom w:w="0" w:type="dxa"/>
            <w:right w:w="108" w:type="dxa"/>
          </w:tblCellMar>
        </w:tblPrEx>
        <w:trPr>
          <w:trHeight w:val="283" w:hRule="atLeast"/>
          <w:jc w:val="center"/>
        </w:trPr>
        <w:tc>
          <w:tcPr>
            <w:tcW w:w="642" w:type="dxa"/>
            <w:vMerge w:val="continue"/>
            <w:tcBorders>
              <w:top w:val="nil"/>
              <w:left w:val="single" w:color="auto" w:sz="4" w:space="0"/>
              <w:bottom w:val="single" w:color="000000"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宗地面积</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宗地形状规则，利于土地利用</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宗地形状较规则，较利于土地利用</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宗地形状一般，利于土地利用无影响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宗地形状较不规则，对土地利用有一定影响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宗地形状不规则，不利于土地利用</w:t>
            </w:r>
          </w:p>
        </w:tc>
      </w:tr>
    </w:tbl>
    <w:p>
      <w:pPr>
        <w:keepNext w:val="0"/>
        <w:keepLines w:val="0"/>
        <w:pageBreakBefore w:val="0"/>
        <w:widowControl/>
        <w:kinsoku/>
        <w:wordWrap/>
        <w:overflowPunct/>
        <w:topLinePunct w:val="0"/>
        <w:autoSpaceDE/>
        <w:autoSpaceDN/>
        <w:bidi w:val="0"/>
        <w:adjustRightInd w:val="0"/>
        <w:snapToGrid w:val="0"/>
        <w:spacing w:before="272" w:beforeLines="100" w:line="240" w:lineRule="auto"/>
        <w:ind w:firstLine="0" w:firstLineChars="0"/>
        <w:jc w:val="center"/>
        <w:textAlignment w:val="auto"/>
        <w:rPr>
          <w:rFonts w:hint="eastAsia" w:ascii="仿宋_GB2312" w:hAnsi="宋体" w:eastAsia="仿宋_GB2312"/>
          <w:b/>
          <w:sz w:val="24"/>
        </w:rPr>
      </w:pPr>
      <w:r>
        <w:rPr>
          <w:rFonts w:hint="eastAsia" w:ascii="仿宋_GB2312" w:hAnsi="宋体" w:eastAsia="仿宋_GB2312"/>
          <w:b/>
          <w:sz w:val="24"/>
        </w:rPr>
        <w:t>表</w:t>
      </w:r>
      <w:r>
        <w:rPr>
          <w:rFonts w:hint="eastAsia" w:ascii="仿宋_GB2312" w:hAnsi="宋体" w:eastAsia="仿宋_GB2312"/>
          <w:b/>
          <w:sz w:val="24"/>
          <w:lang w:val="en-US" w:eastAsia="zh-CN"/>
        </w:rPr>
        <w:t>3-14</w:t>
      </w:r>
      <w:r>
        <w:rPr>
          <w:rFonts w:hint="eastAsia" w:ascii="仿宋_GB2312" w:hAnsi="宋体" w:eastAsia="仿宋_GB2312"/>
          <w:b/>
          <w:sz w:val="24"/>
        </w:rPr>
        <w:t xml:space="preserve">  </w:t>
      </w:r>
      <w:r>
        <w:rPr>
          <w:rFonts w:hint="eastAsia" w:ascii="仿宋" w:hAnsi="仿宋" w:eastAsia="仿宋"/>
          <w:b/>
          <w:sz w:val="24"/>
        </w:rPr>
        <w:t>Ⅲ</w:t>
      </w:r>
      <w:r>
        <w:rPr>
          <w:rFonts w:hint="eastAsia" w:ascii="仿宋_GB2312" w:hAnsi="宋体" w:eastAsia="仿宋_GB2312"/>
          <w:b/>
          <w:sz w:val="24"/>
        </w:rPr>
        <w:t>级</w:t>
      </w:r>
      <w:r>
        <w:rPr>
          <w:rFonts w:hint="eastAsia" w:ascii="仿宋_GB2312" w:hAnsi="宋体" w:eastAsia="仿宋_GB2312"/>
          <w:b/>
          <w:sz w:val="24"/>
          <w:lang w:eastAsia="zh-CN"/>
        </w:rPr>
        <w:t>居住用地</w:t>
      </w:r>
      <w:r>
        <w:rPr>
          <w:rFonts w:hint="eastAsia" w:ascii="仿宋_GB2312" w:hAnsi="宋体" w:eastAsia="仿宋_GB2312"/>
          <w:b/>
          <w:sz w:val="24"/>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3"/>
        <w:gridCol w:w="1101"/>
        <w:gridCol w:w="1101"/>
        <w:gridCol w:w="1101"/>
        <w:gridCol w:w="1101"/>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3"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距商服中心距离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道路类型</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交通便捷度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供水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排水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供暖</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人口密度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-0.0043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距银行距离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小学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中学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-0.0043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距医院距离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距文体场馆距离/广场距离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-0.0043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环境条件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宗地形状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-0.0043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宗地面积</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-0.0071 </w:t>
            </w:r>
          </w:p>
        </w:tc>
      </w:tr>
    </w:tbl>
    <w:p>
      <w:pPr>
        <w:keepNext w:val="0"/>
        <w:keepLines w:val="0"/>
        <w:pageBreakBefore w:val="0"/>
        <w:widowControl/>
        <w:kinsoku/>
        <w:wordWrap/>
        <w:overflowPunct/>
        <w:topLinePunct w:val="0"/>
        <w:autoSpaceDE/>
        <w:autoSpaceDN/>
        <w:bidi w:val="0"/>
        <w:adjustRightInd/>
        <w:snapToGrid/>
        <w:spacing w:line="240" w:lineRule="auto"/>
        <w:ind w:firstLine="481" w:firstLineChars="0"/>
        <w:jc w:val="center"/>
        <w:textAlignment w:val="auto"/>
        <w:rPr>
          <w:rFonts w:hint="eastAsia" w:ascii="仿宋_GB2312" w:hAnsi="宋体" w:eastAsia="仿宋_GB2312"/>
          <w:b/>
          <w:sz w:val="24"/>
        </w:rPr>
      </w:pPr>
    </w:p>
    <w:p>
      <w:pPr>
        <w:keepNext w:val="0"/>
        <w:keepLines w:val="0"/>
        <w:pageBreakBefore w:val="0"/>
        <w:widowControl/>
        <w:kinsoku/>
        <w:wordWrap/>
        <w:overflowPunct/>
        <w:topLinePunct w:val="0"/>
        <w:autoSpaceDE/>
        <w:autoSpaceDN/>
        <w:bidi w:val="0"/>
        <w:adjustRightInd w:val="0"/>
        <w:snapToGrid w:val="0"/>
        <w:spacing w:before="272" w:beforeLines="100" w:line="360" w:lineRule="auto"/>
        <w:ind w:firstLine="0" w:firstLineChars="0"/>
        <w:textAlignment w:val="auto"/>
        <w:rPr>
          <w:rFonts w:hint="eastAsia" w:ascii="仿宋_GB2312" w:hAnsi="宋体" w:eastAsia="仿宋_GB2312"/>
          <w:b/>
          <w:sz w:val="28"/>
          <w:szCs w:val="28"/>
          <w:lang w:eastAsia="zh-CN"/>
        </w:rPr>
        <w:sectPr>
          <w:pgSz w:w="11907" w:h="16840"/>
          <w:pgMar w:top="1701" w:right="1701" w:bottom="1701" w:left="1701" w:header="1134" w:footer="1021" w:gutter="0"/>
          <w:pgNumType w:fmt="decimal"/>
          <w:cols w:space="720" w:num="1"/>
          <w:docGrid w:linePitch="271" w:charSpace="0"/>
        </w:sectPr>
      </w:pPr>
      <w:r>
        <w:rPr>
          <w:rFonts w:hint="eastAsia" w:ascii="仿宋_GB2312" w:hAnsi="宋体" w:eastAsia="仿宋_GB2312"/>
          <w:b/>
          <w:sz w:val="28"/>
          <w:szCs w:val="28"/>
          <w:lang w:eastAsia="zh-CN"/>
        </w:rPr>
        <w:t>　　</w:t>
      </w:r>
    </w:p>
    <w:p>
      <w:pPr>
        <w:keepNext w:val="0"/>
        <w:keepLines w:val="0"/>
        <w:pageBreakBefore w:val="0"/>
        <w:widowControl/>
        <w:kinsoku/>
        <w:wordWrap/>
        <w:overflowPunct/>
        <w:topLinePunct w:val="0"/>
        <w:autoSpaceDE/>
        <w:autoSpaceDN/>
        <w:bidi w:val="0"/>
        <w:adjustRightInd w:val="0"/>
        <w:snapToGrid w:val="0"/>
        <w:spacing w:before="272" w:beforeLines="100" w:line="360" w:lineRule="auto"/>
        <w:ind w:firstLine="560" w:firstLineChars="200"/>
        <w:textAlignment w:val="auto"/>
        <w:rPr>
          <w:rFonts w:hint="eastAsia" w:ascii="仿宋_GB2312" w:eastAsia="仿宋_GB2312"/>
          <w:b w:val="0"/>
          <w:bCs/>
          <w:sz w:val="28"/>
          <w:szCs w:val="28"/>
        </w:rPr>
      </w:pPr>
      <w:r>
        <w:rPr>
          <w:rFonts w:hint="eastAsia" w:ascii="仿宋_GB2312" w:hAnsi="宋体" w:eastAsia="仿宋_GB2312"/>
          <w:b w:val="0"/>
          <w:bCs/>
          <w:sz w:val="28"/>
          <w:szCs w:val="28"/>
        </w:rPr>
        <w:t>（</w:t>
      </w:r>
      <w:r>
        <w:rPr>
          <w:rFonts w:hint="eastAsia" w:ascii="仿宋_GB2312" w:hAnsi="宋体" w:eastAsia="仿宋_GB2312"/>
          <w:b w:val="0"/>
          <w:bCs/>
          <w:sz w:val="28"/>
          <w:szCs w:val="28"/>
          <w:lang w:val="en-US" w:eastAsia="zh-CN"/>
        </w:rPr>
        <w:t>3</w:t>
      </w:r>
      <w:r>
        <w:rPr>
          <w:rFonts w:hint="eastAsia" w:ascii="仿宋_GB2312" w:hAnsi="宋体" w:eastAsia="仿宋_GB2312"/>
          <w:b w:val="0"/>
          <w:bCs/>
          <w:sz w:val="28"/>
          <w:szCs w:val="28"/>
        </w:rPr>
        <w:t>）</w:t>
      </w:r>
      <w:r>
        <w:rPr>
          <w:rFonts w:hint="eastAsia" w:ascii="仿宋_GB2312" w:hAnsi="宋体" w:eastAsia="仿宋_GB2312"/>
          <w:b w:val="0"/>
          <w:bCs/>
          <w:kern w:val="2"/>
          <w:sz w:val="28"/>
          <w:szCs w:val="28"/>
          <w:lang w:eastAsia="zh-CN"/>
        </w:rPr>
        <w:t>工矿用地</w:t>
      </w:r>
      <w:r>
        <w:rPr>
          <w:rFonts w:hint="eastAsia" w:ascii="仿宋_GB2312" w:hAnsi="宋体" w:eastAsia="仿宋_GB2312"/>
          <w:b w:val="0"/>
          <w:bCs/>
          <w:kern w:val="2"/>
          <w:sz w:val="28"/>
          <w:szCs w:val="28"/>
        </w:rPr>
        <w:t>地价影响因素指标说明表及修正系数表</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3-15</w:t>
      </w:r>
      <w:r>
        <w:rPr>
          <w:rFonts w:hint="eastAsia" w:ascii="仿宋_GB2312" w:hAnsi="宋体" w:eastAsia="仿宋_GB2312"/>
          <w:b/>
          <w:sz w:val="24"/>
        </w:rPr>
        <w:t xml:space="preserve">  Ⅰ级</w:t>
      </w:r>
      <w:r>
        <w:rPr>
          <w:rFonts w:hint="eastAsia" w:ascii="仿宋_GB2312" w:hAnsi="宋体" w:eastAsia="仿宋_GB2312"/>
          <w:b/>
          <w:sz w:val="24"/>
          <w:lang w:eastAsia="zh-CN"/>
        </w:rPr>
        <w:t>工矿用地</w:t>
      </w:r>
      <w:r>
        <w:rPr>
          <w:rFonts w:hint="eastAsia" w:ascii="仿宋_GB2312" w:hAnsi="宋体" w:eastAsia="仿宋_GB2312"/>
          <w:b/>
          <w:sz w:val="24"/>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95"/>
        <w:gridCol w:w="1718"/>
        <w:gridCol w:w="1413"/>
        <w:gridCol w:w="1224"/>
        <w:gridCol w:w="1224"/>
        <w:gridCol w:w="1224"/>
        <w:gridCol w:w="1223"/>
      </w:tblGrid>
      <w:tr>
        <w:tblPrEx>
          <w:tblCellMar>
            <w:top w:w="0" w:type="dxa"/>
            <w:left w:w="108" w:type="dxa"/>
            <w:bottom w:w="0" w:type="dxa"/>
            <w:right w:w="108" w:type="dxa"/>
          </w:tblCellMar>
        </w:tblPrEx>
        <w:trPr>
          <w:trHeight w:val="283" w:hRule="atLeast"/>
          <w:jc w:val="center"/>
        </w:trPr>
        <w:tc>
          <w:tcPr>
            <w:tcW w:w="241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影响因素</w:t>
            </w: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较优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一般</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较劣</w:t>
            </w:r>
          </w:p>
        </w:tc>
        <w:tc>
          <w:tcPr>
            <w:tcW w:w="12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劣</w:t>
            </w:r>
          </w:p>
        </w:tc>
      </w:tr>
      <w:tr>
        <w:tblPrEx>
          <w:tblCellMar>
            <w:top w:w="0" w:type="dxa"/>
            <w:left w:w="108" w:type="dxa"/>
            <w:bottom w:w="0" w:type="dxa"/>
            <w:right w:w="108" w:type="dxa"/>
          </w:tblCellMar>
        </w:tblPrEx>
        <w:trPr>
          <w:trHeight w:val="283" w:hRule="atLeast"/>
          <w:jc w:val="center"/>
        </w:trPr>
        <w:tc>
          <w:tcPr>
            <w:tcW w:w="695"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道路通达度</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区域内有主、次干道通过，道路通达度好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区域内有主干道通过，道路通达度较好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区域内有次干道通过，道路通达性一般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区域内有支路通过，道路通达性较差</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区域内以巷道为主，道路通达性差</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交通便捷度</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道路交通运行顺畅、车辆可以自由行驶、乘客舒适程度较高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车辆可以较高速行驶、乘客舒适程度较高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道路交通流量较大、车速较慢、且交通处于不稳定流状态</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道路交通流量较大、车速慢、且交通处于停滞流状态</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eastAsia" w:ascii="仿宋_GB2312" w:hAnsi="宋体" w:eastAsia="仿宋_GB2312" w:cs="宋体"/>
                <w:sz w:val="15"/>
                <w:szCs w:val="15"/>
              </w:rPr>
              <w:t>货运站/物流园区</w:t>
            </w:r>
            <w:r>
              <w:rPr>
                <w:rFonts w:hint="eastAsia" w:ascii="仿宋_GB2312" w:hAnsi="宋体" w:eastAsia="仿宋_GB2312" w:cs="宋体"/>
                <w:sz w:val="15"/>
                <w:szCs w:val="15"/>
                <w:lang w:val="en-US" w:eastAsia="zh-CN"/>
              </w:rPr>
              <w:t>(米)</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[0,700)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[700,900)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[900,1100)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[1100,1300)</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≥1300</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供水管道密集，设施完善</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供水管道较密集，设施较完善</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供水管道均匀，基本配套设施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供水管道稀疏，有少数配套设施</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无集中供水</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排水</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rPr>
            </w:pPr>
            <w:r>
              <w:rPr>
                <w:rFonts w:hint="default" w:ascii="仿宋_GB2312" w:hAnsi="宋体" w:eastAsia="仿宋_GB2312" w:cs="宋体"/>
                <w:sz w:val="15"/>
                <w:szCs w:val="15"/>
              </w:rPr>
              <w:t>有雨排和污排且通畅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rPr>
            </w:pPr>
            <w:r>
              <w:rPr>
                <w:rFonts w:hint="default" w:ascii="仿宋_GB2312" w:hAnsi="宋体" w:eastAsia="仿宋_GB2312" w:cs="宋体"/>
                <w:sz w:val="15"/>
                <w:szCs w:val="15"/>
              </w:rPr>
              <w:t>有雨排和污排</w:t>
            </w:r>
            <w:r>
              <w:rPr>
                <w:rFonts w:hint="eastAsia" w:ascii="仿宋_GB2312" w:hAnsi="宋体" w:eastAsia="仿宋_GB2312" w:cs="宋体"/>
                <w:sz w:val="15"/>
                <w:szCs w:val="15"/>
              </w:rPr>
              <w:t>基本</w:t>
            </w:r>
            <w:r>
              <w:rPr>
                <w:rFonts w:hint="default" w:ascii="仿宋_GB2312" w:hAnsi="宋体" w:eastAsia="仿宋_GB2312" w:cs="宋体"/>
                <w:sz w:val="15"/>
                <w:szCs w:val="15"/>
              </w:rPr>
              <w:t>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rPr>
            </w:pPr>
            <w:r>
              <w:rPr>
                <w:rFonts w:hint="default" w:ascii="仿宋_GB2312" w:hAnsi="宋体" w:eastAsia="仿宋_GB2312" w:cs="宋体"/>
                <w:sz w:val="15"/>
                <w:szCs w:val="15"/>
              </w:rPr>
              <w:t>只有污排</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rPr>
            </w:pPr>
            <w:r>
              <w:rPr>
                <w:rFonts w:hint="default" w:ascii="仿宋_GB2312" w:hAnsi="宋体" w:eastAsia="仿宋_GB2312" w:cs="宋体"/>
                <w:sz w:val="15"/>
                <w:szCs w:val="15"/>
              </w:rPr>
              <w:t>只有雨排</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无排水系统</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产业集聚度</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周围集聚大型工业，形成工业园区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周围工业分布较多，且有一定规模</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周围有工业分布，属于一般产业区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工业分布较分散，且距离较远</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区域内无工业企业分布</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地质条件好，地基承载力强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地质条件较好，地基承载力较强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地质条件一般，地基承载力一般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地质条件较差，地基承载力较差</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地质条件差，地基承载力差</w:t>
            </w:r>
          </w:p>
        </w:tc>
      </w:tr>
      <w:tr>
        <w:tblPrEx>
          <w:tblCellMar>
            <w:top w:w="0" w:type="dxa"/>
            <w:left w:w="108" w:type="dxa"/>
            <w:bottom w:w="0" w:type="dxa"/>
            <w:right w:w="108" w:type="dxa"/>
          </w:tblCellMar>
        </w:tblPrEx>
        <w:trPr>
          <w:trHeight w:val="283" w:hRule="atLeast"/>
          <w:jc w:val="center"/>
        </w:trPr>
        <w:tc>
          <w:tcPr>
            <w:tcW w:w="695"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个别</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宗地形状</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形状规则极有利于土地利用</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形状规则对土地利用较有利</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形状不规则，对土地利用有一定影响</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形状极不规则，对土地利用影响严重</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r>
              <w:rPr>
                <w:rFonts w:hint="eastAsia" w:ascii="仿宋_GB2312" w:hAnsi="宋体" w:eastAsia="仿宋_GB2312" w:cs="宋体"/>
                <w:sz w:val="15"/>
                <w:szCs w:val="15"/>
                <w:lang w:eastAsia="zh-CN"/>
              </w:rPr>
              <w:t>　　</w:t>
            </w: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宗地面积</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面积适中，较符合土地利用类型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面积偏大或偏小，对土地利用有一定影响</w:t>
            </w:r>
          </w:p>
        </w:tc>
        <w:tc>
          <w:tcPr>
            <w:tcW w:w="1223" w:type="dxa"/>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面积过大或过小，不符合土地利用类型</w:t>
            </w:r>
          </w:p>
        </w:tc>
      </w:tr>
    </w:tbl>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eastAsia="仿宋_GB2312"/>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3-16</w:t>
      </w:r>
      <w:r>
        <w:rPr>
          <w:rFonts w:hint="eastAsia" w:ascii="仿宋_GB2312" w:hAnsi="宋体" w:eastAsia="仿宋_GB2312"/>
          <w:b/>
          <w:sz w:val="24"/>
        </w:rPr>
        <w:t xml:space="preserve"> Ⅰ级</w:t>
      </w:r>
      <w:r>
        <w:rPr>
          <w:rFonts w:hint="eastAsia" w:ascii="仿宋_GB2312" w:hAnsi="宋体" w:eastAsia="仿宋_GB2312"/>
          <w:b/>
          <w:sz w:val="24"/>
          <w:lang w:eastAsia="zh-CN"/>
        </w:rPr>
        <w:t>工矿用地</w:t>
      </w:r>
      <w:r>
        <w:rPr>
          <w:rFonts w:hint="eastAsia" w:ascii="仿宋_GB2312" w:hAnsi="宋体" w:eastAsia="仿宋_GB2312"/>
          <w:b/>
          <w:sz w:val="24"/>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1"/>
        <w:gridCol w:w="1101"/>
        <w:gridCol w:w="1101"/>
        <w:gridCol w:w="1101"/>
        <w:gridCol w:w="11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道路通达度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-0.0195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-0.0391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交通便捷度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0.14</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r>
              <w:rPr>
                <w:rFonts w:hint="eastAsia" w:ascii="仿宋_GB2312" w:hAnsi="宋体" w:eastAsia="仿宋_GB2312" w:cs="宋体"/>
                <w:sz w:val="15"/>
                <w:szCs w:val="15"/>
                <w:lang w:eastAsia="zh-CN"/>
              </w:rPr>
              <w:t>货运站/物流园区</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-0.0366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供水</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w:t>
            </w:r>
            <w:r>
              <w:rPr>
                <w:rFonts w:hint="eastAsia" w:ascii="仿宋_GB2312" w:hAnsi="宋体" w:eastAsia="仿宋_GB2312" w:cs="仿宋_GB2312"/>
                <w:i w:val="0"/>
                <w:iCs w:val="0"/>
                <w:color w:val="000000"/>
                <w:kern w:val="0"/>
                <w:sz w:val="15"/>
                <w:szCs w:val="15"/>
                <w:u w:val="none"/>
                <w:lang w:val="en-US" w:eastAsia="zh-CN" w:bidi="ar"/>
              </w:rPr>
              <w:t>0</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排水</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0.09</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产业集聚度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0.12</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-0.0147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-0.0293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宗地形状</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-0.0085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bidi="ar-SA"/>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宗地面积</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0.09</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-0.0220 </w:t>
            </w:r>
          </w:p>
        </w:tc>
      </w:tr>
    </w:tbl>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hAnsi="宋体" w:eastAsia="仿宋_GB2312"/>
          <w:b/>
          <w:sz w:val="24"/>
          <w:lang w:eastAsia="zh-CN"/>
        </w:rPr>
        <w:sectPr>
          <w:pgSz w:w="11907" w:h="16840"/>
          <w:pgMar w:top="1701" w:right="1701" w:bottom="1701" w:left="1701" w:header="1134" w:footer="1021" w:gutter="0"/>
          <w:pgNumType w:fmt="decimal"/>
          <w:cols w:space="720" w:num="1"/>
          <w:docGrid w:linePitch="271" w:charSpace="0"/>
        </w:sect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eastAsia="仿宋_GB2312"/>
          <w:highlight w:val="none"/>
        </w:rPr>
      </w:pPr>
      <w:r>
        <w:rPr>
          <w:rFonts w:hint="eastAsia" w:ascii="仿宋_GB2312" w:hAnsi="宋体" w:eastAsia="仿宋_GB2312"/>
          <w:b/>
          <w:sz w:val="24"/>
          <w:highlight w:val="none"/>
        </w:rPr>
        <w:t>表</w:t>
      </w:r>
      <w:r>
        <w:rPr>
          <w:rFonts w:hint="eastAsia" w:ascii="仿宋_GB2312" w:hAnsi="宋体" w:eastAsia="仿宋_GB2312"/>
          <w:b/>
          <w:sz w:val="24"/>
          <w:highlight w:val="none"/>
          <w:lang w:val="en-US" w:eastAsia="zh-CN"/>
        </w:rPr>
        <w:t>3-17</w:t>
      </w:r>
      <w:r>
        <w:rPr>
          <w:rFonts w:hint="eastAsia" w:ascii="仿宋_GB2312" w:hAnsi="宋体" w:eastAsia="仿宋_GB2312"/>
          <w:b/>
          <w:sz w:val="24"/>
          <w:highlight w:val="none"/>
        </w:rPr>
        <w:t xml:space="preserve">  Ⅱ级</w:t>
      </w:r>
      <w:r>
        <w:rPr>
          <w:rFonts w:hint="eastAsia" w:ascii="仿宋_GB2312" w:hAnsi="宋体" w:eastAsia="仿宋_GB2312"/>
          <w:b/>
          <w:sz w:val="24"/>
          <w:highlight w:val="none"/>
          <w:lang w:eastAsia="zh-CN"/>
        </w:rPr>
        <w:t>工矿用地</w:t>
      </w:r>
      <w:r>
        <w:rPr>
          <w:rFonts w:hint="eastAsia" w:ascii="仿宋_GB2312" w:hAnsi="宋体" w:eastAsia="仿宋_GB2312"/>
          <w:b/>
          <w:sz w:val="24"/>
          <w:highlight w:val="none"/>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95"/>
        <w:gridCol w:w="1913"/>
        <w:gridCol w:w="1224"/>
        <w:gridCol w:w="1224"/>
        <w:gridCol w:w="1224"/>
        <w:gridCol w:w="1224"/>
        <w:gridCol w:w="1217"/>
      </w:tblGrid>
      <w:tr>
        <w:tblPrEx>
          <w:tblCellMar>
            <w:top w:w="0" w:type="dxa"/>
            <w:left w:w="108" w:type="dxa"/>
            <w:bottom w:w="0" w:type="dxa"/>
            <w:right w:w="108" w:type="dxa"/>
          </w:tblCellMar>
        </w:tblPrEx>
        <w:trPr>
          <w:trHeight w:val="397" w:hRule="atLeast"/>
          <w:jc w:val="center"/>
        </w:trPr>
        <w:tc>
          <w:tcPr>
            <w:tcW w:w="26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影响因素</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较优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一般</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较劣</w:t>
            </w:r>
          </w:p>
        </w:tc>
        <w:tc>
          <w:tcPr>
            <w:tcW w:w="121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劣</w:t>
            </w:r>
          </w:p>
        </w:tc>
      </w:tr>
      <w:tr>
        <w:tblPrEx>
          <w:tblCellMar>
            <w:top w:w="0" w:type="dxa"/>
            <w:left w:w="108" w:type="dxa"/>
            <w:bottom w:w="0" w:type="dxa"/>
            <w:right w:w="108" w:type="dxa"/>
          </w:tblCellMar>
        </w:tblPrEx>
        <w:trPr>
          <w:trHeight w:val="397" w:hRule="atLeast"/>
          <w:jc w:val="center"/>
        </w:trPr>
        <w:tc>
          <w:tcPr>
            <w:tcW w:w="695"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道路通达度</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区域内有主、次干道通过，道路通达度好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区域内有主干道通过，道路通达度较好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区域内有次干道通过，道路通达性一般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区域内有支路通过，道路通达性较差</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区域内以巷道为主，道路通达性差</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交通便捷度</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道路交通运行顺畅、车辆可以自由行驶、乘客舒适程度较高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车辆可以较高速行驶、乘客舒适程度较高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道路交通流量较大、车速较慢、且交通处于不稳定流状态</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道路交通流量较大、车速慢、且交通处于停滞流状态</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货运站/物流园区</w:t>
            </w:r>
            <w:r>
              <w:rPr>
                <w:rFonts w:hint="eastAsia" w:ascii="仿宋_GB2312" w:hAnsi="宋体" w:eastAsia="仿宋_GB2312" w:cs="宋体"/>
                <w:sz w:val="15"/>
                <w:szCs w:val="15"/>
                <w:lang w:val="en-US" w:eastAsia="zh-CN"/>
              </w:rPr>
              <w:t>(米)</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[0,800)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[800,1000)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[1000,1200)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[1200,1400)</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≥1400</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集中供水充足、保证率98%以上</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集中供水较充足、保证率98%-95%</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集中供水基本充足、保证率90%-95%</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集中供水保证率低、保证率90%以下</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无集中供水</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排水</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有雨排和污排且通畅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有雨排和污排基本通畅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只有污排</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只有雨排</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无排水系统</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产业集聚度</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周围集聚大型工业，形成工业园区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周围工业分布较多，且有一定规模</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周围有工业分布，属于一般产业区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工业分布较分散，且距离较远</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区域内无工业企业分布</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地质条件好，地基承载力强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地质条件较好，地基承载力较强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地质条件一般，地基承载力一般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地质条件较差，地基承载力较差</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地质条件差，地基承载力差</w:t>
            </w:r>
          </w:p>
        </w:tc>
      </w:tr>
      <w:tr>
        <w:tblPrEx>
          <w:tblCellMar>
            <w:top w:w="0" w:type="dxa"/>
            <w:left w:w="108" w:type="dxa"/>
            <w:bottom w:w="0" w:type="dxa"/>
            <w:right w:w="108" w:type="dxa"/>
          </w:tblCellMar>
        </w:tblPrEx>
        <w:trPr>
          <w:trHeight w:val="397" w:hRule="atLeast"/>
          <w:jc w:val="center"/>
        </w:trPr>
        <w:tc>
          <w:tcPr>
            <w:tcW w:w="695"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个别</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宗地形状</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形状规则极有利于土地利用</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形状规则对土地利用较有利</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形状不规则，对土地利用有一定影响</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形状极不规则，对土地利用影响严重</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宗地面积</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面积适中，较符合土地利用类型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面积偏大或偏小，对土地利用有一定影响</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面积过大或过小，不符合土地利用类型</w:t>
            </w:r>
          </w:p>
        </w:tc>
      </w:tr>
    </w:tbl>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3-18</w:t>
      </w:r>
      <w:r>
        <w:rPr>
          <w:rFonts w:hint="eastAsia" w:ascii="仿宋_GB2312" w:hAnsi="宋体" w:eastAsia="仿宋_GB2312"/>
          <w:b/>
          <w:sz w:val="24"/>
        </w:rPr>
        <w:t xml:space="preserve"> Ⅱ级</w:t>
      </w:r>
      <w:r>
        <w:rPr>
          <w:rFonts w:hint="eastAsia" w:ascii="仿宋_GB2312" w:hAnsi="宋体" w:eastAsia="仿宋_GB2312"/>
          <w:b/>
          <w:sz w:val="24"/>
          <w:lang w:eastAsia="zh-CN"/>
        </w:rPr>
        <w:t>工矿用地</w:t>
      </w:r>
      <w:r>
        <w:rPr>
          <w:rFonts w:hint="eastAsia" w:ascii="仿宋_GB2312" w:hAnsi="宋体" w:eastAsia="仿宋_GB2312"/>
          <w:b/>
          <w:sz w:val="24"/>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1"/>
        <w:gridCol w:w="1101"/>
        <w:gridCol w:w="1101"/>
        <w:gridCol w:w="1101"/>
        <w:gridCol w:w="11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道路通达度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0.0246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-0.0246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交通便捷度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0.14</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0.0215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r>
              <w:rPr>
                <w:rFonts w:hint="eastAsia" w:ascii="仿宋_GB2312" w:hAnsi="宋体" w:eastAsia="仿宋_GB2312" w:cs="宋体"/>
                <w:sz w:val="15"/>
                <w:szCs w:val="15"/>
                <w:lang w:eastAsia="zh-CN"/>
              </w:rPr>
              <w:t>货运站/物流园区</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0.0231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-0.0115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供水</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w:t>
            </w:r>
            <w:r>
              <w:rPr>
                <w:rFonts w:hint="eastAsia" w:ascii="仿宋_GB2312" w:hAnsi="宋体" w:eastAsia="仿宋_GB2312" w:cs="仿宋_GB2312"/>
                <w:i w:val="0"/>
                <w:iCs w:val="0"/>
                <w:color w:val="000000"/>
                <w:kern w:val="0"/>
                <w:sz w:val="15"/>
                <w:szCs w:val="15"/>
                <w:u w:val="none"/>
                <w:lang w:val="en-US" w:eastAsia="zh-CN" w:bidi="ar"/>
              </w:rPr>
              <w:t>0</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-0.0077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排水</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0.09</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产业集聚度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0.12</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宗地形状</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-0.0054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bidi="ar-SA"/>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宗地面积</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0.09</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-0.0138 </w:t>
            </w:r>
          </w:p>
        </w:tc>
      </w:tr>
    </w:tbl>
    <w:p>
      <w:pPr>
        <w:spacing w:line="360" w:lineRule="auto"/>
        <w:ind w:firstLine="0" w:firstLineChars="0"/>
        <w:rPr>
          <w:rFonts w:hint="eastAsia" w:ascii="仿宋_GB2312" w:eastAsia="仿宋_GB2312"/>
          <w:b/>
          <w:sz w:val="24"/>
          <w:lang w:eastAsia="zh-CN"/>
        </w:rPr>
        <w:sectPr>
          <w:pgSz w:w="11907" w:h="16840"/>
          <w:pgMar w:top="1701" w:right="1701" w:bottom="1701" w:left="1701" w:header="1134" w:footer="1021" w:gutter="0"/>
          <w:pgNumType w:fmt="decimal"/>
          <w:cols w:space="720" w:num="1"/>
          <w:docGrid w:linePitch="271" w:charSpace="0"/>
        </w:sectPr>
      </w:pPr>
    </w:p>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eastAsia="仿宋_GB2312"/>
        </w:rPr>
      </w:pPr>
      <w:r>
        <w:rPr>
          <w:rFonts w:hint="eastAsia"/>
          <w:lang w:val="en-US" w:eastAsia="zh-CN"/>
        </w:rPr>
        <w:t xml:space="preserve">  </w:t>
      </w:r>
      <w:r>
        <w:rPr>
          <w:rFonts w:hint="eastAsia"/>
          <w:highlight w:val="none"/>
          <w:lang w:val="en-US" w:eastAsia="zh-CN"/>
        </w:rPr>
        <w:t xml:space="preserve"> </w:t>
      </w:r>
      <w:r>
        <w:rPr>
          <w:rFonts w:hint="eastAsia" w:ascii="仿宋_GB2312" w:hAnsi="宋体" w:eastAsia="仿宋_GB2312"/>
          <w:b/>
          <w:sz w:val="24"/>
          <w:highlight w:val="none"/>
        </w:rPr>
        <w:t>表</w:t>
      </w:r>
      <w:r>
        <w:rPr>
          <w:rFonts w:hint="eastAsia" w:ascii="仿宋_GB2312" w:hAnsi="宋体" w:eastAsia="仿宋_GB2312"/>
          <w:b/>
          <w:sz w:val="24"/>
          <w:highlight w:val="none"/>
          <w:lang w:val="en-US" w:eastAsia="zh-CN"/>
        </w:rPr>
        <w:t>3-19</w:t>
      </w:r>
      <w:r>
        <w:rPr>
          <w:rFonts w:hint="eastAsia" w:ascii="仿宋_GB2312" w:hAnsi="宋体" w:eastAsia="仿宋_GB2312"/>
          <w:b/>
          <w:sz w:val="24"/>
          <w:highlight w:val="none"/>
        </w:rPr>
        <w:t xml:space="preserve">  </w:t>
      </w:r>
      <w:r>
        <w:rPr>
          <w:rFonts w:hint="eastAsia" w:ascii="仿宋" w:hAnsi="仿宋" w:eastAsia="仿宋"/>
          <w:b/>
          <w:sz w:val="24"/>
          <w:highlight w:val="none"/>
        </w:rPr>
        <w:t>Ⅲ</w:t>
      </w:r>
      <w:r>
        <w:rPr>
          <w:rFonts w:hint="eastAsia" w:ascii="仿宋_GB2312" w:hAnsi="宋体" w:eastAsia="仿宋_GB2312"/>
          <w:b/>
          <w:sz w:val="24"/>
          <w:highlight w:val="none"/>
        </w:rPr>
        <w:t>级</w:t>
      </w:r>
      <w:r>
        <w:rPr>
          <w:rFonts w:hint="eastAsia" w:ascii="仿宋_GB2312" w:hAnsi="宋体" w:eastAsia="仿宋_GB2312"/>
          <w:b/>
          <w:sz w:val="24"/>
          <w:highlight w:val="none"/>
          <w:lang w:eastAsia="zh-CN"/>
        </w:rPr>
        <w:t>工矿用地</w:t>
      </w:r>
      <w:r>
        <w:rPr>
          <w:rFonts w:hint="eastAsia" w:ascii="仿宋_GB2312" w:hAnsi="宋体" w:eastAsia="仿宋_GB2312"/>
          <w:b/>
          <w:sz w:val="24"/>
          <w:highlight w:val="none"/>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95"/>
        <w:gridCol w:w="1913"/>
        <w:gridCol w:w="1224"/>
        <w:gridCol w:w="1224"/>
        <w:gridCol w:w="1224"/>
        <w:gridCol w:w="1224"/>
        <w:gridCol w:w="1217"/>
      </w:tblGrid>
      <w:tr>
        <w:tblPrEx>
          <w:tblCellMar>
            <w:top w:w="0" w:type="dxa"/>
            <w:left w:w="108" w:type="dxa"/>
            <w:bottom w:w="0" w:type="dxa"/>
            <w:right w:w="108" w:type="dxa"/>
          </w:tblCellMar>
        </w:tblPrEx>
        <w:trPr>
          <w:trHeight w:val="397" w:hRule="atLeast"/>
          <w:jc w:val="center"/>
        </w:trPr>
        <w:tc>
          <w:tcPr>
            <w:tcW w:w="26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影响因素</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较优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一般</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较劣</w:t>
            </w:r>
          </w:p>
        </w:tc>
        <w:tc>
          <w:tcPr>
            <w:tcW w:w="121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劣</w:t>
            </w:r>
          </w:p>
        </w:tc>
      </w:tr>
      <w:tr>
        <w:tblPrEx>
          <w:tblCellMar>
            <w:top w:w="0" w:type="dxa"/>
            <w:left w:w="108" w:type="dxa"/>
            <w:bottom w:w="0" w:type="dxa"/>
            <w:right w:w="108" w:type="dxa"/>
          </w:tblCellMar>
        </w:tblPrEx>
        <w:trPr>
          <w:trHeight w:val="397" w:hRule="atLeast"/>
          <w:jc w:val="center"/>
        </w:trPr>
        <w:tc>
          <w:tcPr>
            <w:tcW w:w="695"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道路通达度</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区域内有主、次干道通过，道路通达度好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区域内有主干道通过，道路通达度较好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区域内有次干道通过，道路通达性一般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区域内有支路通过，道路通达性较差</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区域内以巷道为主，道路通达性差</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交通便捷度</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道路交通运行顺畅、车辆可以自由行驶、乘客舒适程度较高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车辆可以较高速行驶、乘客舒适程度较高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道路交通流量较大、车速较慢、且交通处于不稳定流状态</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道路交通流量较大、车速慢、且交通处于停滞流状态</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货运站/物流园区</w:t>
            </w:r>
            <w:r>
              <w:rPr>
                <w:rFonts w:hint="eastAsia" w:ascii="仿宋_GB2312" w:hAnsi="宋体" w:eastAsia="仿宋_GB2312" w:cs="宋体"/>
                <w:sz w:val="15"/>
                <w:szCs w:val="15"/>
                <w:lang w:val="en-US" w:eastAsia="zh-CN"/>
              </w:rPr>
              <w:t>(米)</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[0,1000)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[1000,1200)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[1200,1400)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[1400,1600)</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≥1600</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集中供水充足、保证率98%以上</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集中供水较充足、保证率98%-95%</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集中供水基本充足、保证率90%-95%</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集中供水保证率低、保证率90%以下</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无集中供水</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排水</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有雨排和污排且通畅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有雨排和污排基本通畅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只有污排</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只有雨排</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无排水系统</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产业集聚度</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周围集聚大型工业，形成工业园区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周围工业分布较多，且有一定规模</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周围有工业分布，属于一般产业区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工业分布较分散，且距离较远</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区域内无工业企业分布</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地质条件好，地基承载力强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地质条件较好，地基承载力较强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地质条件一般，地基承载力一般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地质条件较差，地基承载力较差</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地质条件差，地基承载力差</w:t>
            </w:r>
          </w:p>
        </w:tc>
      </w:tr>
      <w:tr>
        <w:tblPrEx>
          <w:tblCellMar>
            <w:top w:w="0" w:type="dxa"/>
            <w:left w:w="108" w:type="dxa"/>
            <w:bottom w:w="0" w:type="dxa"/>
            <w:right w:w="108" w:type="dxa"/>
          </w:tblCellMar>
        </w:tblPrEx>
        <w:trPr>
          <w:trHeight w:val="397" w:hRule="atLeast"/>
          <w:jc w:val="center"/>
        </w:trPr>
        <w:tc>
          <w:tcPr>
            <w:tcW w:w="695"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个别</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宗地形状</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形状规则极有利于土地利用</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形状规则对土地利用较有利</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形状不规则，对土地利用有一定影响</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形状极不规则，对土地利用影响严重</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宗地面积</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面积适中，较符合土地利用类型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面积偏大或偏小，对土地利用有一定影响</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面积过大或过小，不符合土地利用类型</w:t>
            </w:r>
          </w:p>
        </w:tc>
      </w:tr>
    </w:tbl>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 xml:space="preserve">3-20  </w:t>
      </w:r>
      <w:r>
        <w:rPr>
          <w:rFonts w:hint="eastAsia" w:ascii="仿宋" w:hAnsi="仿宋" w:eastAsia="仿宋"/>
          <w:b/>
          <w:sz w:val="24"/>
        </w:rPr>
        <w:t>Ⅲ</w:t>
      </w:r>
      <w:r>
        <w:rPr>
          <w:rFonts w:hint="eastAsia" w:ascii="仿宋_GB2312" w:hAnsi="宋体" w:eastAsia="仿宋_GB2312"/>
          <w:b/>
          <w:sz w:val="24"/>
        </w:rPr>
        <w:t>级</w:t>
      </w:r>
      <w:r>
        <w:rPr>
          <w:rFonts w:hint="eastAsia" w:ascii="仿宋_GB2312" w:hAnsi="宋体" w:eastAsia="仿宋_GB2312"/>
          <w:b/>
          <w:sz w:val="24"/>
          <w:lang w:eastAsia="zh-CN"/>
        </w:rPr>
        <w:t>工矿用地</w:t>
      </w:r>
      <w:r>
        <w:rPr>
          <w:rFonts w:hint="eastAsia" w:ascii="仿宋_GB2312" w:hAnsi="宋体" w:eastAsia="仿宋_GB2312"/>
          <w:b/>
          <w:sz w:val="24"/>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1"/>
        <w:gridCol w:w="1101"/>
        <w:gridCol w:w="1101"/>
        <w:gridCol w:w="1101"/>
        <w:gridCol w:w="11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道路通达度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0.0349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交通便捷度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0.14</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0.0305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r>
              <w:rPr>
                <w:rFonts w:hint="eastAsia" w:ascii="仿宋_GB2312" w:hAnsi="宋体" w:eastAsia="仿宋_GB2312" w:cs="宋体"/>
                <w:sz w:val="15"/>
                <w:szCs w:val="15"/>
                <w:lang w:eastAsia="zh-CN"/>
              </w:rPr>
              <w:t>货运站/物流园区</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0.0327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供水</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w:t>
            </w:r>
            <w:r>
              <w:rPr>
                <w:rFonts w:hint="eastAsia" w:ascii="仿宋_GB2312" w:hAnsi="宋体" w:eastAsia="仿宋_GB2312" w:cs="仿宋_GB2312"/>
                <w:i w:val="0"/>
                <w:iCs w:val="0"/>
                <w:color w:val="000000"/>
                <w:kern w:val="0"/>
                <w:sz w:val="15"/>
                <w:szCs w:val="15"/>
                <w:u w:val="none"/>
                <w:lang w:val="en-US" w:eastAsia="zh-CN" w:bidi="ar"/>
              </w:rPr>
              <w:t>0</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0.0218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排水</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0.09</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0.0196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产业集聚度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0.12</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0.0261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-0.0067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宗地形状</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bidi="ar-SA"/>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宗地面积</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0.09</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0.0196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-0.0075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r>
    </w:tbl>
    <w:p>
      <w:pPr>
        <w:spacing w:line="360" w:lineRule="auto"/>
        <w:ind w:firstLine="0" w:firstLineChars="0"/>
        <w:rPr>
          <w:rFonts w:hint="eastAsia" w:ascii="仿宋_GB2312" w:eastAsia="仿宋_GB2312"/>
          <w:b/>
          <w:sz w:val="24"/>
          <w:lang w:eastAsia="zh-CN"/>
        </w:rPr>
        <w:sectPr>
          <w:pgSz w:w="11907" w:h="16840"/>
          <w:pgMar w:top="1701" w:right="1701" w:bottom="1701" w:left="1701" w:header="1134" w:footer="1021" w:gutter="0"/>
          <w:pgNumType w:fmt="decimal"/>
          <w:cols w:space="720" w:num="1"/>
          <w:docGrid w:linePitch="271" w:charSpace="0"/>
        </w:sectPr>
      </w:pPr>
    </w:p>
    <w:p>
      <w:pPr>
        <w:keepNext w:val="0"/>
        <w:keepLines w:val="0"/>
        <w:pageBreakBefore w:val="0"/>
        <w:widowControl/>
        <w:kinsoku/>
        <w:wordWrap/>
        <w:overflowPunct/>
        <w:topLinePunct w:val="0"/>
        <w:autoSpaceDE/>
        <w:autoSpaceDN/>
        <w:bidi w:val="0"/>
        <w:adjustRightInd w:val="0"/>
        <w:snapToGrid w:val="0"/>
        <w:spacing w:before="272" w:beforeLines="100" w:line="360" w:lineRule="auto"/>
        <w:ind w:left="0" w:leftChars="0" w:firstLine="0" w:firstLineChars="0"/>
        <w:textAlignment w:val="auto"/>
        <w:rPr>
          <w:rFonts w:hint="eastAsia" w:ascii="仿宋_GB2312" w:eastAsia="仿宋_GB2312"/>
          <w:b w:val="0"/>
          <w:bCs/>
          <w:sz w:val="28"/>
          <w:szCs w:val="28"/>
        </w:rPr>
      </w:pPr>
      <w:r>
        <w:rPr>
          <w:rFonts w:hint="eastAsia" w:ascii="仿宋_GB2312" w:hAnsi="宋体" w:eastAsia="仿宋_GB2312"/>
          <w:b w:val="0"/>
          <w:bCs/>
          <w:sz w:val="28"/>
          <w:szCs w:val="28"/>
        </w:rPr>
        <w:t>（</w:t>
      </w:r>
      <w:r>
        <w:rPr>
          <w:rFonts w:hint="eastAsia" w:ascii="仿宋_GB2312" w:hAnsi="宋体" w:eastAsia="仿宋_GB2312"/>
          <w:b w:val="0"/>
          <w:bCs/>
          <w:sz w:val="28"/>
          <w:szCs w:val="28"/>
          <w:lang w:val="en-US" w:eastAsia="zh-CN"/>
        </w:rPr>
        <w:t>4</w:t>
      </w:r>
      <w:r>
        <w:rPr>
          <w:rFonts w:hint="eastAsia" w:ascii="仿宋_GB2312" w:hAnsi="宋体" w:eastAsia="仿宋_GB2312"/>
          <w:b w:val="0"/>
          <w:bCs/>
          <w:sz w:val="28"/>
          <w:szCs w:val="28"/>
        </w:rPr>
        <w:t>）</w:t>
      </w:r>
      <w:r>
        <w:rPr>
          <w:rFonts w:hint="eastAsia" w:ascii="仿宋_GB2312" w:hAnsi="宋体" w:eastAsia="仿宋_GB2312"/>
          <w:b w:val="0"/>
          <w:bCs/>
          <w:kern w:val="2"/>
          <w:sz w:val="28"/>
          <w:szCs w:val="28"/>
          <w:lang w:val="en-US" w:eastAsia="zh-CN"/>
        </w:rPr>
        <w:t>公共管理与公共服务用地</w:t>
      </w:r>
      <w:r>
        <w:rPr>
          <w:rFonts w:hint="eastAsia" w:ascii="仿宋_GB2312" w:hAnsi="宋体" w:eastAsia="仿宋_GB2312"/>
          <w:b w:val="0"/>
          <w:bCs/>
          <w:kern w:val="2"/>
          <w:sz w:val="28"/>
          <w:szCs w:val="28"/>
        </w:rPr>
        <w:t>地价影响因素指标说明表及修正系数表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1"/>
          <w:szCs w:val="21"/>
        </w:rPr>
      </w:pPr>
      <w:r>
        <w:rPr>
          <w:rFonts w:hint="eastAsia" w:ascii="仿宋_GB2312" w:hAnsi="宋体" w:eastAsia="仿宋_GB2312"/>
          <w:b/>
          <w:sz w:val="21"/>
          <w:szCs w:val="21"/>
        </w:rPr>
        <w:t>表</w:t>
      </w:r>
      <w:r>
        <w:rPr>
          <w:rFonts w:hint="eastAsia" w:ascii="仿宋_GB2312" w:hAnsi="宋体" w:eastAsia="仿宋_GB2312"/>
          <w:b/>
          <w:sz w:val="21"/>
          <w:szCs w:val="21"/>
          <w:lang w:val="en-US" w:eastAsia="zh-CN"/>
        </w:rPr>
        <w:t>3-21</w:t>
      </w:r>
      <w:r>
        <w:rPr>
          <w:rFonts w:hint="eastAsia" w:ascii="仿宋_GB2312" w:hAnsi="宋体" w:eastAsia="仿宋_GB2312"/>
          <w:b/>
          <w:sz w:val="21"/>
          <w:szCs w:val="21"/>
        </w:rPr>
        <w:t xml:space="preserve">  Ⅰ级公共管理与公共服务用地地价区位因素及个别因素修正系数指标说明表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42"/>
        <w:gridCol w:w="1801"/>
        <w:gridCol w:w="1198"/>
        <w:gridCol w:w="1183"/>
        <w:gridCol w:w="1312"/>
        <w:gridCol w:w="1400"/>
        <w:gridCol w:w="1185"/>
      </w:tblGrid>
      <w:tr>
        <w:tblPrEx>
          <w:tblCellMar>
            <w:top w:w="0" w:type="dxa"/>
            <w:left w:w="108" w:type="dxa"/>
            <w:bottom w:w="0" w:type="dxa"/>
            <w:right w:w="108" w:type="dxa"/>
          </w:tblCellMar>
        </w:tblPrEx>
        <w:trPr>
          <w:trHeight w:val="255" w:hRule="atLeast"/>
          <w:jc w:val="center"/>
        </w:trPr>
        <w:tc>
          <w:tcPr>
            <w:tcW w:w="244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影响因素</w:t>
            </w:r>
          </w:p>
        </w:tc>
        <w:tc>
          <w:tcPr>
            <w:tcW w:w="119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优</w:t>
            </w:r>
          </w:p>
        </w:tc>
        <w:tc>
          <w:tcPr>
            <w:tcW w:w="11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较优</w:t>
            </w:r>
          </w:p>
        </w:tc>
        <w:tc>
          <w:tcPr>
            <w:tcW w:w="13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一般</w:t>
            </w:r>
          </w:p>
        </w:tc>
        <w:tc>
          <w:tcPr>
            <w:tcW w:w="14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较劣</w:t>
            </w:r>
          </w:p>
        </w:tc>
        <w:tc>
          <w:tcPr>
            <w:tcW w:w="11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ascii="仿宋_GB2312" w:hAnsi="宋体" w:eastAsia="仿宋_GB2312" w:cs="宋体"/>
                <w:sz w:val="15"/>
                <w:szCs w:val="15"/>
              </w:rPr>
            </w:pPr>
            <w:r>
              <w:rPr>
                <w:rFonts w:hint="eastAsia" w:ascii="仿宋_GB2312" w:hAnsi="宋体" w:eastAsia="仿宋_GB2312" w:cs="宋体"/>
                <w:sz w:val="15"/>
                <w:szCs w:val="15"/>
              </w:rPr>
              <w:t>劣</w:t>
            </w:r>
          </w:p>
        </w:tc>
      </w:tr>
      <w:tr>
        <w:tblPrEx>
          <w:tblCellMar>
            <w:top w:w="0" w:type="dxa"/>
            <w:left w:w="108" w:type="dxa"/>
            <w:bottom w:w="0" w:type="dxa"/>
            <w:right w:w="108" w:type="dxa"/>
          </w:tblCellMar>
        </w:tblPrEx>
        <w:trPr>
          <w:trHeight w:val="255" w:hRule="atLeast"/>
          <w:jc w:val="center"/>
        </w:trPr>
        <w:tc>
          <w:tcPr>
            <w:tcW w:w="642"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因素</w:t>
            </w: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距商服中心距离（米）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(100—300]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(500—700]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&gt;700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道路类型</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混合型主干道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生活型主干道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生活型次干道或交通型主干道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道路通达性较差</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道路通达性差</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交通便捷度</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道路交通运行顺畅、车辆可以自由行驶、乘客舒适程度较高</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车辆可以较高速行驶、乘客舒适程度较高</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道路交通流量较大、车速较慢、且交通处于不稳定流状态</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道路交通流量较大、车速慢、且交通处于停滞流状态</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90"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集中供水充足、保证率98%以上</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集中供水较充足、保证率98%-95%</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集中供水基本充足、保证率90%-95%</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集中供水保证率低、保证率90%以下</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无集中供水</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排水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有雨排和污排且通畅</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有雨排和污排基本通畅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只有污排</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只有雨排</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无排水系统</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供暖</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位于主管道两侧</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距主管道100米以内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距主管道200米以内</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位于支线管道两侧</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无集中供热</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人口密度（人/平方千米）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[400-500)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[300-400)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p>
        </w:tc>
        <w:tc>
          <w:tcPr>
            <w:tcW w:w="180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银行</w:t>
            </w:r>
            <w:r>
              <w:rPr>
                <w:rFonts w:hint="eastAsia" w:ascii="仿宋_GB2312" w:hAnsi="宋体" w:eastAsia="仿宋_GB2312" w:cs="Times New Roman"/>
                <w:sz w:val="15"/>
                <w:szCs w:val="15"/>
                <w:lang w:eastAsia="zh-CN"/>
              </w:rPr>
              <w:t>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(500—700]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(700—1000]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距小学距离（米）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(500—800]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(800—1000]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&gt;1300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距中学距离（米）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距医院距离（米）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距文体场馆距离</w:t>
            </w:r>
            <w:r>
              <w:rPr>
                <w:rFonts w:hint="eastAsia" w:ascii="仿宋_GB2312" w:hAnsi="宋体" w:eastAsia="仿宋_GB2312" w:cs="Times New Roman"/>
                <w:sz w:val="15"/>
                <w:szCs w:val="15"/>
                <w:lang w:val="en-US" w:eastAsia="zh-CN"/>
              </w:rPr>
              <w:t>/广场距离</w:t>
            </w:r>
            <w:r>
              <w:rPr>
                <w:rFonts w:hint="eastAsia" w:ascii="仿宋_GB2312" w:hAnsi="宋体" w:eastAsia="仿宋_GB2312" w:cs="Times New Roman"/>
                <w:sz w:val="15"/>
                <w:szCs w:val="15"/>
                <w:lang w:eastAsia="zh-CN"/>
              </w:rPr>
              <w:t>（米）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环境条件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环境优良，无污染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环境良好，基本无污染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环境一般，轻度污染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环境较差，污染较重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环境差，严重污染</w:t>
            </w:r>
          </w:p>
        </w:tc>
      </w:tr>
      <w:tr>
        <w:tblPrEx>
          <w:tblCellMar>
            <w:top w:w="0" w:type="dxa"/>
            <w:left w:w="108" w:type="dxa"/>
            <w:bottom w:w="0" w:type="dxa"/>
            <w:right w:w="108" w:type="dxa"/>
          </w:tblCellMar>
        </w:tblPrEx>
        <w:trPr>
          <w:trHeight w:val="255" w:hRule="atLeast"/>
          <w:jc w:val="center"/>
        </w:trPr>
        <w:tc>
          <w:tcPr>
            <w:tcW w:w="642" w:type="dxa"/>
            <w:vMerge w:val="restart"/>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个别因素</w:t>
            </w:r>
          </w:p>
        </w:tc>
        <w:tc>
          <w:tcPr>
            <w:tcW w:w="180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面积适中，对土地利用有利</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面积对土地利用较为有利</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面积对土地利用无不良影响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面积较小，对土地利用有一定影响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面积过小，对土地利用产生不利影响</w:t>
            </w:r>
          </w:p>
        </w:tc>
      </w:tr>
      <w:tr>
        <w:tblPrEx>
          <w:tblCellMar>
            <w:top w:w="0" w:type="dxa"/>
            <w:left w:w="108" w:type="dxa"/>
            <w:bottom w:w="0" w:type="dxa"/>
            <w:right w:w="108" w:type="dxa"/>
          </w:tblCellMar>
        </w:tblPrEx>
        <w:trPr>
          <w:trHeight w:val="255" w:hRule="atLeast"/>
          <w:jc w:val="center"/>
        </w:trPr>
        <w:tc>
          <w:tcPr>
            <w:tcW w:w="642" w:type="dxa"/>
            <w:vMerge w:val="continue"/>
            <w:tcBorders>
              <w:top w:val="nil"/>
              <w:left w:val="single" w:color="auto" w:sz="4" w:space="0"/>
              <w:bottom w:val="single" w:color="000000" w:sz="4" w:space="0"/>
              <w:right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right="0"/>
              <w:rPr>
                <w:rFonts w:hint="eastAsia" w:ascii="仿宋_GB2312" w:hAnsi="宋体" w:eastAsia="仿宋_GB2312" w:cs="宋体"/>
                <w:sz w:val="15"/>
                <w:szCs w:val="15"/>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宗地面积</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宗地形状规则，利于土地利用</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宗地形状较规则，较利于土地利用</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宗地形状一般，利于土地利用无影响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宗地形状较不规则，对土地利用有一定影响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宗地形状不规则，不利于土地利用</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4"/>
          <w:lang w:eastAsia="zh-CN"/>
        </w:rPr>
        <w:t>　　</w:t>
      </w:r>
      <w:r>
        <w:rPr>
          <w:rFonts w:hint="eastAsia" w:ascii="仿宋_GB2312" w:hAnsi="宋体" w:eastAsia="仿宋_GB2312"/>
          <w:b/>
          <w:bCs w:val="0"/>
          <w:sz w:val="21"/>
          <w:szCs w:val="21"/>
        </w:rPr>
        <w:t>表</w:t>
      </w:r>
      <w:r>
        <w:rPr>
          <w:rFonts w:hint="eastAsia" w:ascii="仿宋_GB2312" w:hAnsi="宋体" w:eastAsia="仿宋_GB2312"/>
          <w:b/>
          <w:bCs w:val="0"/>
          <w:sz w:val="21"/>
          <w:szCs w:val="21"/>
          <w:lang w:val="en-US" w:eastAsia="zh-CN"/>
        </w:rPr>
        <w:t>3-22</w:t>
      </w:r>
      <w:r>
        <w:rPr>
          <w:rFonts w:hint="eastAsia" w:ascii="仿宋_GB2312" w:hAnsi="宋体" w:eastAsia="仿宋_GB2312"/>
          <w:b/>
          <w:bCs w:val="0"/>
          <w:sz w:val="21"/>
          <w:szCs w:val="21"/>
        </w:rPr>
        <w:t xml:space="preserve"> Ⅰ级</w:t>
      </w:r>
      <w:r>
        <w:rPr>
          <w:rFonts w:hint="eastAsia" w:ascii="仿宋_GB2312" w:hAnsi="宋体" w:eastAsia="仿宋_GB2312"/>
          <w:b/>
          <w:bCs w:val="0"/>
          <w:kern w:val="2"/>
          <w:sz w:val="21"/>
          <w:szCs w:val="21"/>
          <w:lang w:val="en-US" w:eastAsia="zh-CN"/>
        </w:rPr>
        <w:t>公共管理与公共服务用地</w:t>
      </w:r>
      <w:r>
        <w:rPr>
          <w:rFonts w:hint="eastAsia" w:ascii="仿宋_GB2312" w:hAnsi="宋体" w:eastAsia="仿宋_GB2312"/>
          <w:b/>
          <w:bCs w:val="0"/>
          <w:sz w:val="21"/>
          <w:szCs w:val="21"/>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3"/>
        <w:gridCol w:w="1101"/>
        <w:gridCol w:w="1101"/>
        <w:gridCol w:w="1101"/>
        <w:gridCol w:w="1101"/>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3"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距商服中心距离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道路类型</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交通便捷度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供水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排水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供热</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人口密度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距银行距离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小学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中学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距医院距离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-0.0023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距文体场馆距离/广场距离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环境条件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宗地形状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宗地面积</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-0.0023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-0.0045 </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sectPr>
          <w:pgSz w:w="11907" w:h="16840"/>
          <w:pgMar w:top="1701" w:right="1701" w:bottom="1701" w:left="1701" w:header="1134" w:footer="1021" w:gutter="0"/>
          <w:pgNumType w:fmt="decimal"/>
          <w:cols w:space="720" w:num="1"/>
          <w:docGrid w:linePitch="271" w:charSpace="0"/>
        </w:sect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1"/>
          <w:szCs w:val="21"/>
        </w:rPr>
      </w:pPr>
      <w:r>
        <w:rPr>
          <w:rFonts w:hint="eastAsia" w:ascii="仿宋_GB2312" w:hAnsi="宋体" w:eastAsia="仿宋_GB2312"/>
          <w:b/>
          <w:sz w:val="21"/>
          <w:szCs w:val="21"/>
        </w:rPr>
        <w:t>表</w:t>
      </w:r>
      <w:r>
        <w:rPr>
          <w:rFonts w:hint="eastAsia" w:ascii="仿宋_GB2312" w:hAnsi="宋体" w:eastAsia="仿宋_GB2312"/>
          <w:b/>
          <w:sz w:val="21"/>
          <w:szCs w:val="21"/>
          <w:lang w:val="en-US" w:eastAsia="zh-CN"/>
        </w:rPr>
        <w:t>3-23</w:t>
      </w:r>
      <w:r>
        <w:rPr>
          <w:rFonts w:hint="eastAsia" w:ascii="仿宋_GB2312" w:hAnsi="宋体" w:eastAsia="仿宋_GB2312"/>
          <w:b/>
          <w:sz w:val="21"/>
          <w:szCs w:val="21"/>
        </w:rPr>
        <w:t xml:space="preserve">   Ⅱ级</w:t>
      </w:r>
      <w:r>
        <w:rPr>
          <w:rFonts w:hint="eastAsia" w:ascii="仿宋_GB2312" w:hAnsi="宋体" w:eastAsia="仿宋_GB2312"/>
          <w:b/>
          <w:bCs w:val="0"/>
          <w:kern w:val="2"/>
          <w:sz w:val="21"/>
          <w:szCs w:val="21"/>
          <w:lang w:val="en-US" w:eastAsia="zh-CN"/>
        </w:rPr>
        <w:t>公共管理与公共服务用地</w:t>
      </w:r>
      <w:r>
        <w:rPr>
          <w:rFonts w:hint="eastAsia" w:ascii="仿宋_GB2312" w:hAnsi="宋体" w:eastAsia="仿宋_GB2312"/>
          <w:b/>
          <w:sz w:val="21"/>
          <w:szCs w:val="21"/>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42"/>
        <w:gridCol w:w="1801"/>
        <w:gridCol w:w="1198"/>
        <w:gridCol w:w="1183"/>
        <w:gridCol w:w="1312"/>
        <w:gridCol w:w="1400"/>
        <w:gridCol w:w="1185"/>
      </w:tblGrid>
      <w:tr>
        <w:tblPrEx>
          <w:tblCellMar>
            <w:top w:w="0" w:type="dxa"/>
            <w:left w:w="108" w:type="dxa"/>
            <w:bottom w:w="0" w:type="dxa"/>
            <w:right w:w="108" w:type="dxa"/>
          </w:tblCellMar>
        </w:tblPrEx>
        <w:trPr>
          <w:trHeight w:val="255" w:hRule="atLeast"/>
          <w:jc w:val="center"/>
        </w:trPr>
        <w:tc>
          <w:tcPr>
            <w:tcW w:w="244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影响因素</w:t>
            </w:r>
          </w:p>
        </w:tc>
        <w:tc>
          <w:tcPr>
            <w:tcW w:w="119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优</w:t>
            </w:r>
          </w:p>
        </w:tc>
        <w:tc>
          <w:tcPr>
            <w:tcW w:w="11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较优</w:t>
            </w:r>
          </w:p>
        </w:tc>
        <w:tc>
          <w:tcPr>
            <w:tcW w:w="13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一般</w:t>
            </w:r>
          </w:p>
        </w:tc>
        <w:tc>
          <w:tcPr>
            <w:tcW w:w="14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较劣</w:t>
            </w:r>
          </w:p>
        </w:tc>
        <w:tc>
          <w:tcPr>
            <w:tcW w:w="11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劣</w:t>
            </w:r>
          </w:p>
        </w:tc>
      </w:tr>
      <w:tr>
        <w:tblPrEx>
          <w:tblCellMar>
            <w:top w:w="0" w:type="dxa"/>
            <w:left w:w="108" w:type="dxa"/>
            <w:bottom w:w="0" w:type="dxa"/>
            <w:right w:w="108" w:type="dxa"/>
          </w:tblCellMar>
        </w:tblPrEx>
        <w:trPr>
          <w:trHeight w:val="255" w:hRule="atLeast"/>
          <w:jc w:val="center"/>
        </w:trPr>
        <w:tc>
          <w:tcPr>
            <w:tcW w:w="642"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因素</w:t>
            </w: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距商服中心距离（米）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35</w:t>
            </w:r>
            <w:r>
              <w:rPr>
                <w:rFonts w:hint="eastAsia" w:ascii="仿宋_GB2312" w:hAnsi="宋体" w:eastAsia="仿宋_GB2312" w:cs="Times New Roman"/>
                <w:sz w:val="15"/>
                <w:szCs w:val="15"/>
                <w:lang w:eastAsia="zh-CN"/>
              </w:rPr>
              <w:t>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35</w:t>
            </w:r>
            <w:r>
              <w:rPr>
                <w:rFonts w:hint="eastAsia" w:ascii="仿宋_GB2312" w:hAnsi="宋体" w:eastAsia="仿宋_GB2312" w:cs="Times New Roman"/>
                <w:sz w:val="15"/>
                <w:szCs w:val="15"/>
                <w:lang w:eastAsia="zh-CN"/>
              </w:rPr>
              <w:t>0</w:t>
            </w:r>
            <w:r>
              <w:rPr>
                <w:rFonts w:hint="eastAsia" w:ascii="仿宋_GB2312" w:hAnsi="宋体" w:eastAsia="仿宋_GB2312" w:cs="Times New Roman"/>
                <w:sz w:val="15"/>
                <w:szCs w:val="15"/>
                <w:lang w:val="en-US" w:eastAsia="zh-CN"/>
              </w:rPr>
              <w:t>-650</w:t>
            </w:r>
            <w:r>
              <w:rPr>
                <w:rFonts w:hint="eastAsia" w:ascii="仿宋_GB2312" w:hAnsi="宋体" w:eastAsia="仿宋_GB2312" w:cs="Times New Roman"/>
                <w:sz w:val="15"/>
                <w:szCs w:val="15"/>
                <w:lang w:eastAsia="zh-CN"/>
              </w:rPr>
              <w:t>]</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650-950</w:t>
            </w:r>
            <w:r>
              <w:rPr>
                <w:rFonts w:hint="eastAsia" w:ascii="仿宋_GB2312" w:hAnsi="宋体" w:eastAsia="仿宋_GB2312" w:cs="Times New Roman"/>
                <w:sz w:val="15"/>
                <w:szCs w:val="15"/>
                <w:lang w:eastAsia="zh-CN"/>
              </w:rPr>
              <w:t>]</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(950-1100]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w:t>
            </w:r>
            <w:r>
              <w:rPr>
                <w:rFonts w:hint="eastAsia" w:ascii="仿宋_GB2312" w:hAnsi="宋体" w:eastAsia="仿宋_GB2312" w:cs="Times New Roman"/>
                <w:sz w:val="15"/>
                <w:szCs w:val="15"/>
                <w:lang w:val="en-US" w:eastAsia="zh-CN"/>
              </w:rPr>
              <w:t>11</w:t>
            </w:r>
            <w:r>
              <w:rPr>
                <w:rFonts w:hint="eastAsia" w:ascii="仿宋_GB2312" w:hAnsi="宋体" w:eastAsia="仿宋_GB2312" w:cs="Times New Roman"/>
                <w:sz w:val="15"/>
                <w:szCs w:val="15"/>
                <w:lang w:eastAsia="zh-CN"/>
              </w:rPr>
              <w:t>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道路类型</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混合型主干道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生活型主干道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生活型次干道或交通型主干道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道路通达性较差</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道路通达性差</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交通便捷度</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道路交通运行顺畅、车辆可以自由行驶、乘客舒适程度较高</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车辆可以较高速行驶、乘客舒适程度较高</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道路交通流量较大、车速较慢、且交通处于不稳定流状态</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道路交通流量较大、车速慢、且交通处于停滞流状态</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集中供水充足、保证率98%以上</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集中供水较充足、保证率98%-95%</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集中供水基本充足、保证率90%-95%</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集中供水保证率低、保证率90%以下</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无集中供水</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排水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有雨排和污排且通畅</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有雨排和污排基本通畅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只有污排</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只有雨排</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无排水系统</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供暖</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位于主管道两侧</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距主管道100米以内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距主管道200米以内</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位于支线管道两侧</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无集中供热</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人口密度（人/平方千米）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[400-500)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[300-400)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银行</w:t>
            </w:r>
            <w:r>
              <w:rPr>
                <w:rFonts w:hint="eastAsia" w:ascii="仿宋_GB2312" w:hAnsi="宋体" w:eastAsia="仿宋_GB2312" w:cs="Times New Roman"/>
                <w:sz w:val="15"/>
                <w:szCs w:val="15"/>
                <w:lang w:eastAsia="zh-CN"/>
              </w:rPr>
              <w:t>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(500—700]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(700—1000]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距小学距离（米）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(500—800]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(800—1000]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&gt;1300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距中学距离（米）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距医院距离（米）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距文体场馆距离</w:t>
            </w:r>
            <w:r>
              <w:rPr>
                <w:rFonts w:hint="eastAsia" w:ascii="仿宋_GB2312" w:hAnsi="宋体" w:eastAsia="仿宋_GB2312" w:cs="Times New Roman"/>
                <w:sz w:val="15"/>
                <w:szCs w:val="15"/>
                <w:lang w:val="en-US" w:eastAsia="zh-CN"/>
              </w:rPr>
              <w:t>/广场距离</w:t>
            </w:r>
            <w:r>
              <w:rPr>
                <w:rFonts w:hint="eastAsia" w:ascii="仿宋_GB2312" w:hAnsi="宋体" w:eastAsia="仿宋_GB2312" w:cs="Times New Roman"/>
                <w:sz w:val="15"/>
                <w:szCs w:val="15"/>
                <w:lang w:eastAsia="zh-CN"/>
              </w:rPr>
              <w:t>（米）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55" w:hRule="atLeast"/>
          <w:jc w:val="center"/>
        </w:trPr>
        <w:tc>
          <w:tcPr>
            <w:tcW w:w="642"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环境条件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环境优良，无污染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环境良好，基本无污染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环境一般，轻度污染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环境较差，污染较重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环境差，严重污染</w:t>
            </w:r>
          </w:p>
        </w:tc>
      </w:tr>
      <w:tr>
        <w:tblPrEx>
          <w:tblCellMar>
            <w:top w:w="0" w:type="dxa"/>
            <w:left w:w="108" w:type="dxa"/>
            <w:bottom w:w="0" w:type="dxa"/>
            <w:right w:w="108" w:type="dxa"/>
          </w:tblCellMar>
        </w:tblPrEx>
        <w:trPr>
          <w:trHeight w:val="255" w:hRule="atLeast"/>
          <w:jc w:val="center"/>
        </w:trPr>
        <w:tc>
          <w:tcPr>
            <w:tcW w:w="642" w:type="dxa"/>
            <w:vMerge w:val="restart"/>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个别因素</w:t>
            </w:r>
          </w:p>
        </w:tc>
        <w:tc>
          <w:tcPr>
            <w:tcW w:w="180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面积适中，对土地利用有利</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面积对土地利用较为有利</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面积对土地利用无不良影响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面积较小，对土地利用有一定影响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面积过小，对土地利用产生不利影响</w:t>
            </w:r>
          </w:p>
        </w:tc>
      </w:tr>
      <w:tr>
        <w:tblPrEx>
          <w:tblCellMar>
            <w:top w:w="0" w:type="dxa"/>
            <w:left w:w="108" w:type="dxa"/>
            <w:bottom w:w="0" w:type="dxa"/>
            <w:right w:w="108" w:type="dxa"/>
          </w:tblCellMar>
        </w:tblPrEx>
        <w:trPr>
          <w:trHeight w:val="255" w:hRule="atLeast"/>
          <w:jc w:val="center"/>
        </w:trPr>
        <w:tc>
          <w:tcPr>
            <w:tcW w:w="642" w:type="dxa"/>
            <w:vMerge w:val="continue"/>
            <w:tcBorders>
              <w:top w:val="nil"/>
              <w:left w:val="single" w:color="auto" w:sz="4" w:space="0"/>
              <w:bottom w:val="single" w:color="000000"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宗地面积</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宗地形状规则，利于土地利用</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宗地形状较规则，较利于土地利用</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宗地形状一般，利于土地利用无影响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宗地形状较不规则，对土地利用有一定影响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宗地形状不规则，不利于土地利用</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sz w:val="21"/>
          <w:szCs w:val="21"/>
        </w:rPr>
      </w:pPr>
      <w:r>
        <w:rPr>
          <w:rFonts w:hint="eastAsia" w:ascii="仿宋_GB2312" w:hAnsi="宋体" w:eastAsia="仿宋_GB2312"/>
          <w:b/>
          <w:sz w:val="24"/>
          <w:lang w:eastAsia="zh-CN"/>
        </w:rPr>
        <w:t>　　</w:t>
      </w:r>
      <w:r>
        <w:rPr>
          <w:rFonts w:hint="eastAsia" w:ascii="仿宋_GB2312" w:hAnsi="宋体" w:eastAsia="仿宋_GB2312"/>
          <w:b/>
          <w:sz w:val="21"/>
          <w:szCs w:val="21"/>
        </w:rPr>
        <w:t>表</w:t>
      </w:r>
      <w:r>
        <w:rPr>
          <w:rFonts w:hint="eastAsia" w:ascii="仿宋_GB2312" w:hAnsi="宋体" w:eastAsia="仿宋_GB2312"/>
          <w:b/>
          <w:sz w:val="21"/>
          <w:szCs w:val="21"/>
          <w:lang w:val="en-US" w:eastAsia="zh-CN"/>
        </w:rPr>
        <w:t>3-24</w:t>
      </w:r>
      <w:r>
        <w:rPr>
          <w:rFonts w:hint="eastAsia" w:ascii="仿宋_GB2312" w:hAnsi="宋体" w:eastAsia="仿宋_GB2312"/>
          <w:b/>
          <w:sz w:val="21"/>
          <w:szCs w:val="21"/>
        </w:rPr>
        <w:t xml:space="preserve">  Ⅱ级</w:t>
      </w:r>
      <w:r>
        <w:rPr>
          <w:rFonts w:hint="eastAsia" w:ascii="仿宋_GB2312" w:hAnsi="宋体" w:eastAsia="仿宋_GB2312"/>
          <w:b/>
          <w:bCs w:val="0"/>
          <w:kern w:val="2"/>
          <w:sz w:val="21"/>
          <w:szCs w:val="21"/>
          <w:lang w:val="en-US" w:eastAsia="zh-CN"/>
        </w:rPr>
        <w:t>公共管理与公共服务用地</w:t>
      </w:r>
      <w:r>
        <w:rPr>
          <w:rFonts w:hint="eastAsia" w:ascii="仿宋_GB2312" w:hAnsi="宋体" w:eastAsia="仿宋_GB2312"/>
          <w:b/>
          <w:sz w:val="21"/>
          <w:szCs w:val="21"/>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3"/>
        <w:gridCol w:w="1101"/>
        <w:gridCol w:w="1101"/>
        <w:gridCol w:w="1101"/>
        <w:gridCol w:w="1101"/>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3"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距商服中心距离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道路类型</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-0.0028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交通便捷度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供水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-0.0032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排水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-0.0028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供暖</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-0.0028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人口密度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-0.0024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距银行距离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-0.0028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小学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-0.0028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中学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-0.0024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距医院距离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距文体场馆距离/广场距离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-0.0024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环境条件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-0.0028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宗地形状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-0.0024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宗地面积</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-0.0020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-0.0040 </w:t>
            </w:r>
          </w:p>
        </w:tc>
      </w:tr>
    </w:tbl>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4"/>
          <w:lang w:eastAsia="zh-CN"/>
        </w:rPr>
        <w:sectPr>
          <w:pgSz w:w="11907" w:h="16840"/>
          <w:pgMar w:top="1701" w:right="1701" w:bottom="1701" w:left="1701" w:header="1134" w:footer="1021" w:gutter="0"/>
          <w:pgNumType w:fmt="decimal"/>
          <w:cols w:space="720" w:num="1"/>
          <w:docGrid w:linePitch="271" w:charSpace="0"/>
        </w:sect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宋体" w:eastAsia="仿宋_GB2312"/>
          <w:b/>
          <w:sz w:val="21"/>
          <w:szCs w:val="21"/>
        </w:rPr>
      </w:pPr>
      <w:r>
        <w:rPr>
          <w:rFonts w:hint="eastAsia" w:ascii="仿宋_GB2312" w:hAnsi="宋体" w:eastAsia="仿宋_GB2312"/>
          <w:b/>
          <w:sz w:val="21"/>
          <w:szCs w:val="21"/>
        </w:rPr>
        <w:t>表</w:t>
      </w:r>
      <w:r>
        <w:rPr>
          <w:rFonts w:hint="eastAsia" w:ascii="仿宋_GB2312" w:hAnsi="宋体" w:eastAsia="仿宋_GB2312"/>
          <w:b/>
          <w:sz w:val="21"/>
          <w:szCs w:val="21"/>
          <w:lang w:val="en-US" w:eastAsia="zh-CN"/>
        </w:rPr>
        <w:t>3-25</w:t>
      </w:r>
      <w:r>
        <w:rPr>
          <w:rFonts w:hint="eastAsia" w:ascii="仿宋_GB2312" w:hAnsi="宋体" w:eastAsia="仿宋_GB2312"/>
          <w:b/>
          <w:sz w:val="21"/>
          <w:szCs w:val="21"/>
        </w:rPr>
        <w:t xml:space="preserve">  </w:t>
      </w:r>
      <w:r>
        <w:rPr>
          <w:rFonts w:hint="eastAsia" w:ascii="仿宋" w:hAnsi="仿宋" w:eastAsia="仿宋"/>
          <w:b/>
          <w:sz w:val="21"/>
          <w:szCs w:val="21"/>
        </w:rPr>
        <w:t>Ⅲ</w:t>
      </w:r>
      <w:r>
        <w:rPr>
          <w:rFonts w:hint="eastAsia" w:ascii="仿宋_GB2312" w:hAnsi="宋体" w:eastAsia="仿宋_GB2312"/>
          <w:b/>
          <w:sz w:val="21"/>
          <w:szCs w:val="21"/>
        </w:rPr>
        <w:t>级</w:t>
      </w:r>
      <w:r>
        <w:rPr>
          <w:rFonts w:hint="eastAsia" w:ascii="仿宋_GB2312" w:hAnsi="宋体" w:eastAsia="仿宋_GB2312"/>
          <w:b/>
          <w:bCs w:val="0"/>
          <w:kern w:val="2"/>
          <w:sz w:val="21"/>
          <w:szCs w:val="21"/>
          <w:lang w:val="en-US" w:eastAsia="zh-CN"/>
        </w:rPr>
        <w:t>公共管理与公共服务用地</w:t>
      </w:r>
      <w:r>
        <w:rPr>
          <w:rFonts w:hint="eastAsia" w:ascii="仿宋_GB2312" w:hAnsi="宋体" w:eastAsia="仿宋_GB2312"/>
          <w:b/>
          <w:sz w:val="21"/>
          <w:szCs w:val="21"/>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42"/>
        <w:gridCol w:w="1801"/>
        <w:gridCol w:w="1198"/>
        <w:gridCol w:w="1183"/>
        <w:gridCol w:w="1312"/>
        <w:gridCol w:w="1400"/>
        <w:gridCol w:w="1185"/>
      </w:tblGrid>
      <w:tr>
        <w:tblPrEx>
          <w:tblCellMar>
            <w:top w:w="0" w:type="dxa"/>
            <w:left w:w="108" w:type="dxa"/>
            <w:bottom w:w="0" w:type="dxa"/>
            <w:right w:w="108" w:type="dxa"/>
          </w:tblCellMar>
        </w:tblPrEx>
        <w:trPr>
          <w:trHeight w:val="283" w:hRule="atLeast"/>
          <w:jc w:val="center"/>
        </w:trPr>
        <w:tc>
          <w:tcPr>
            <w:tcW w:w="244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影响因素</w:t>
            </w:r>
          </w:p>
        </w:tc>
        <w:tc>
          <w:tcPr>
            <w:tcW w:w="1198"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优</w:t>
            </w:r>
          </w:p>
        </w:tc>
        <w:tc>
          <w:tcPr>
            <w:tcW w:w="118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较优</w:t>
            </w:r>
          </w:p>
        </w:tc>
        <w:tc>
          <w:tcPr>
            <w:tcW w:w="1312"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一般</w:t>
            </w:r>
          </w:p>
        </w:tc>
        <w:tc>
          <w:tcPr>
            <w:tcW w:w="14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较劣</w:t>
            </w:r>
          </w:p>
        </w:tc>
        <w:tc>
          <w:tcPr>
            <w:tcW w:w="1185"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劣</w:t>
            </w:r>
          </w:p>
        </w:tc>
      </w:tr>
      <w:tr>
        <w:tblPrEx>
          <w:tblCellMar>
            <w:top w:w="0" w:type="dxa"/>
            <w:left w:w="108" w:type="dxa"/>
            <w:bottom w:w="0" w:type="dxa"/>
            <w:right w:w="108" w:type="dxa"/>
          </w:tblCellMar>
        </w:tblPrEx>
        <w:trPr>
          <w:trHeight w:val="283" w:hRule="atLeast"/>
          <w:jc w:val="center"/>
        </w:trPr>
        <w:tc>
          <w:tcPr>
            <w:tcW w:w="642"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因素</w:t>
            </w: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距商服中心距离（米）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500</w:t>
            </w: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8</w:t>
            </w:r>
            <w:r>
              <w:rPr>
                <w:rFonts w:hint="eastAsia" w:ascii="仿宋_GB2312" w:hAnsi="宋体" w:eastAsia="仿宋_GB2312" w:cs="Times New Roman"/>
                <w:sz w:val="15"/>
                <w:szCs w:val="15"/>
                <w:lang w:eastAsia="zh-CN"/>
              </w:rPr>
              <w:t>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8</w:t>
            </w:r>
            <w:r>
              <w:rPr>
                <w:rFonts w:hint="eastAsia" w:ascii="仿宋_GB2312" w:hAnsi="宋体" w:eastAsia="仿宋_GB2312" w:cs="Times New Roman"/>
                <w:sz w:val="15"/>
                <w:szCs w:val="15"/>
                <w:lang w:eastAsia="zh-CN"/>
              </w:rPr>
              <w:t>00—</w:t>
            </w:r>
            <w:r>
              <w:rPr>
                <w:rFonts w:hint="eastAsia" w:ascii="仿宋_GB2312" w:hAnsi="宋体" w:eastAsia="仿宋_GB2312" w:cs="Times New Roman"/>
                <w:sz w:val="15"/>
                <w:szCs w:val="15"/>
                <w:lang w:val="en-US" w:eastAsia="zh-CN"/>
              </w:rPr>
              <w:t>100</w:t>
            </w:r>
            <w:r>
              <w:rPr>
                <w:rFonts w:hint="eastAsia" w:ascii="仿宋_GB2312" w:hAnsi="宋体" w:eastAsia="仿宋_GB2312" w:cs="Times New Roman"/>
                <w:sz w:val="15"/>
                <w:szCs w:val="15"/>
                <w:lang w:eastAsia="zh-CN"/>
              </w:rPr>
              <w:t>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w:t>
            </w:r>
            <w:r>
              <w:rPr>
                <w:rFonts w:hint="eastAsia" w:ascii="仿宋_GB2312" w:hAnsi="宋体" w:eastAsia="仿宋_GB2312" w:cs="Times New Roman"/>
                <w:sz w:val="15"/>
                <w:szCs w:val="15"/>
                <w:lang w:val="en-US" w:eastAsia="zh-CN"/>
              </w:rPr>
              <w:t>100</w:t>
            </w:r>
            <w:r>
              <w:rPr>
                <w:rFonts w:hint="eastAsia" w:ascii="仿宋_GB2312" w:hAnsi="宋体" w:eastAsia="仿宋_GB2312" w:cs="Times New Roman"/>
                <w:sz w:val="15"/>
                <w:szCs w:val="15"/>
                <w:lang w:eastAsia="zh-CN"/>
              </w:rPr>
              <w:t>0—</w:t>
            </w:r>
            <w:r>
              <w:rPr>
                <w:rFonts w:hint="eastAsia" w:ascii="仿宋_GB2312" w:hAnsi="宋体" w:eastAsia="仿宋_GB2312" w:cs="Times New Roman"/>
                <w:sz w:val="15"/>
                <w:szCs w:val="15"/>
                <w:lang w:val="en-US" w:eastAsia="zh-CN"/>
              </w:rPr>
              <w:t>13</w:t>
            </w:r>
            <w:r>
              <w:rPr>
                <w:rFonts w:hint="eastAsia" w:ascii="仿宋_GB2312" w:hAnsi="宋体" w:eastAsia="仿宋_GB2312" w:cs="Times New Roman"/>
                <w:sz w:val="15"/>
                <w:szCs w:val="15"/>
                <w:lang w:eastAsia="zh-CN"/>
              </w:rPr>
              <w:t>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w:t>
            </w:r>
            <w:r>
              <w:rPr>
                <w:rFonts w:hint="eastAsia" w:ascii="仿宋_GB2312" w:hAnsi="宋体" w:eastAsia="仿宋_GB2312" w:cs="Times New Roman"/>
                <w:sz w:val="15"/>
                <w:szCs w:val="15"/>
                <w:lang w:val="en-US" w:eastAsia="zh-CN"/>
              </w:rPr>
              <w:t>13</w:t>
            </w:r>
            <w:r>
              <w:rPr>
                <w:rFonts w:hint="eastAsia" w:ascii="仿宋_GB2312" w:hAnsi="宋体" w:eastAsia="仿宋_GB2312" w:cs="Times New Roman"/>
                <w:sz w:val="15"/>
                <w:szCs w:val="15"/>
                <w:lang w:eastAsia="zh-CN"/>
              </w:rPr>
              <w:t>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道路类型</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混合型主干道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生活型主干道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生活型次干道或交通型主干道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道路通达性较差</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道路通达性差</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交通便捷度</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道路交通运行顺畅、车辆可以自由行驶、乘客舒适程度较高</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车辆可以较高速行驶、乘客舒适程度较高</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道路交通流量较大、车速较慢、且交通处于不稳定流状态</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道路交通流量较大、车速慢、且交通处于停滞流状态</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集中供水充足、保证率98%以上</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集中供水较充足、保证率98%-95%</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集中供水基本充足、保证率90%-95%</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集中供水保证率低、保证率90%以下</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无集中供水</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排水</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有雨排和污排且通畅</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有雨排和污排基本通畅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只有污排</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只有雨排</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无排水系统</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供暖</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位于主管道两侧</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距主管道100米以内</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距主管道200米以内</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位于支线管道两侧</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无集中供热</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人口密度（人/平方千米）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[400-500)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[300-400)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＜200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Times New Roman"/>
                <w:sz w:val="15"/>
                <w:szCs w:val="15"/>
                <w:lang w:val="en-US" w:eastAsia="zh-CN"/>
              </w:rPr>
            </w:pPr>
          </w:p>
        </w:tc>
        <w:tc>
          <w:tcPr>
            <w:tcW w:w="1801"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w:t>
            </w:r>
            <w:r>
              <w:rPr>
                <w:rFonts w:hint="eastAsia" w:ascii="仿宋_GB2312" w:hAnsi="宋体" w:eastAsia="仿宋_GB2312" w:cs="Times New Roman"/>
                <w:sz w:val="15"/>
                <w:szCs w:val="15"/>
                <w:lang w:val="en-US" w:eastAsia="zh-CN"/>
              </w:rPr>
              <w:t>银行</w:t>
            </w:r>
            <w:r>
              <w:rPr>
                <w:rFonts w:hint="eastAsia" w:ascii="仿宋_GB2312" w:hAnsi="宋体" w:eastAsia="仿宋_GB2312" w:cs="Times New Roman"/>
                <w:sz w:val="15"/>
                <w:szCs w:val="15"/>
                <w:lang w:eastAsia="zh-CN"/>
              </w:rPr>
              <w:t>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(300—500]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(500—700]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(700—1000]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&gt;1000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距小学距离（米）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(500—800]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(800—1000]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(1000—1300]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&gt;1300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距中学距离（米）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距医院距离（米）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距文体场馆距离</w:t>
            </w:r>
            <w:r>
              <w:rPr>
                <w:rFonts w:hint="eastAsia" w:ascii="仿宋_GB2312" w:hAnsi="宋体" w:eastAsia="仿宋_GB2312" w:cs="Times New Roman"/>
                <w:sz w:val="15"/>
                <w:szCs w:val="15"/>
                <w:lang w:val="en-US" w:eastAsia="zh-CN"/>
              </w:rPr>
              <w:t>/广场距离</w:t>
            </w:r>
            <w:r>
              <w:rPr>
                <w:rFonts w:hint="eastAsia" w:ascii="仿宋_GB2312" w:hAnsi="宋体" w:eastAsia="仿宋_GB2312" w:cs="Times New Roman"/>
                <w:sz w:val="15"/>
                <w:szCs w:val="15"/>
                <w:lang w:eastAsia="zh-CN"/>
              </w:rPr>
              <w:t>（米）</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(500—1000]</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(1000—1500]</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(1500—2000]</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&gt;2000</w:t>
            </w:r>
          </w:p>
        </w:tc>
      </w:tr>
      <w:tr>
        <w:tblPrEx>
          <w:tblCellMar>
            <w:top w:w="0" w:type="dxa"/>
            <w:left w:w="108" w:type="dxa"/>
            <w:bottom w:w="0" w:type="dxa"/>
            <w:right w:w="108" w:type="dxa"/>
          </w:tblCellMar>
        </w:tblPrEx>
        <w:trPr>
          <w:trHeight w:val="283" w:hRule="atLeast"/>
          <w:jc w:val="center"/>
        </w:trPr>
        <w:tc>
          <w:tcPr>
            <w:tcW w:w="642"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环境条件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环境优良，无污染</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环境良好，基本无污染</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环境一般，轻度污染</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环境较差，污染较重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环境差，严重污染</w:t>
            </w:r>
          </w:p>
        </w:tc>
      </w:tr>
      <w:tr>
        <w:tblPrEx>
          <w:tblCellMar>
            <w:top w:w="0" w:type="dxa"/>
            <w:left w:w="108" w:type="dxa"/>
            <w:bottom w:w="0" w:type="dxa"/>
            <w:right w:w="108" w:type="dxa"/>
          </w:tblCellMar>
        </w:tblPrEx>
        <w:trPr>
          <w:trHeight w:val="283" w:hRule="atLeast"/>
          <w:jc w:val="center"/>
        </w:trPr>
        <w:tc>
          <w:tcPr>
            <w:tcW w:w="642" w:type="dxa"/>
            <w:vMerge w:val="restart"/>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val="en-US" w:eastAsia="zh-CN"/>
              </w:rPr>
              <w:t>个别因素</w:t>
            </w: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面积适中，对土地利用有利</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面积对土地利用较为有利</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面积对土地利用无不良影响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面积较小，对土地利用有一定影响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面积过小，对土地利用产生不利影响</w:t>
            </w:r>
          </w:p>
        </w:tc>
      </w:tr>
      <w:tr>
        <w:tblPrEx>
          <w:tblCellMar>
            <w:top w:w="0" w:type="dxa"/>
            <w:left w:w="108" w:type="dxa"/>
            <w:bottom w:w="0" w:type="dxa"/>
            <w:right w:w="108" w:type="dxa"/>
          </w:tblCellMar>
        </w:tblPrEx>
        <w:trPr>
          <w:trHeight w:val="283" w:hRule="atLeast"/>
          <w:jc w:val="center"/>
        </w:trPr>
        <w:tc>
          <w:tcPr>
            <w:tcW w:w="642" w:type="dxa"/>
            <w:vMerge w:val="continue"/>
            <w:tcBorders>
              <w:top w:val="nil"/>
              <w:left w:val="single" w:color="auto" w:sz="4" w:space="0"/>
              <w:bottom w:val="single" w:color="000000"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p>
        </w:tc>
        <w:tc>
          <w:tcPr>
            <w:tcW w:w="1801"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宗地面积</w:t>
            </w:r>
          </w:p>
        </w:tc>
        <w:tc>
          <w:tcPr>
            <w:tcW w:w="119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宗地形状规则，利于土地利用</w:t>
            </w:r>
          </w:p>
        </w:tc>
        <w:tc>
          <w:tcPr>
            <w:tcW w:w="118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宗地形状较规则，较利于土地利用</w:t>
            </w:r>
          </w:p>
        </w:tc>
        <w:tc>
          <w:tcPr>
            <w:tcW w:w="1312"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宗地形状一般，利于土地利用无影响</w:t>
            </w:r>
          </w:p>
        </w:tc>
        <w:tc>
          <w:tcPr>
            <w:tcW w:w="1400"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宗地形状较不规则，对土地利用有一定影响</w:t>
            </w:r>
          </w:p>
        </w:tc>
        <w:tc>
          <w:tcPr>
            <w:tcW w:w="1185"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Times New Roman"/>
                <w:sz w:val="15"/>
                <w:szCs w:val="15"/>
                <w:lang w:eastAsia="zh-CN"/>
              </w:rPr>
            </w:pPr>
            <w:r>
              <w:rPr>
                <w:rFonts w:hint="eastAsia" w:ascii="仿宋_GB2312" w:hAnsi="宋体" w:eastAsia="仿宋_GB2312" w:cs="Times New Roman"/>
                <w:sz w:val="15"/>
                <w:szCs w:val="15"/>
                <w:lang w:eastAsia="zh-CN"/>
              </w:rPr>
              <w:t>宗地形状不规则，不利于土地利用</w:t>
            </w:r>
          </w:p>
        </w:tc>
      </w:tr>
    </w:tbl>
    <w:p>
      <w:pPr>
        <w:keepNext w:val="0"/>
        <w:keepLines w:val="0"/>
        <w:pageBreakBefore w:val="0"/>
        <w:widowControl/>
        <w:kinsoku/>
        <w:wordWrap/>
        <w:overflowPunct/>
        <w:topLinePunct w:val="0"/>
        <w:autoSpaceDE/>
        <w:autoSpaceDN/>
        <w:bidi w:val="0"/>
        <w:adjustRightInd w:val="0"/>
        <w:snapToGrid w:val="0"/>
        <w:spacing w:before="272" w:beforeLines="100" w:line="240" w:lineRule="auto"/>
        <w:ind w:firstLine="0" w:firstLineChars="0"/>
        <w:jc w:val="center"/>
        <w:textAlignment w:val="auto"/>
        <w:rPr>
          <w:rFonts w:hint="eastAsia" w:ascii="仿宋_GB2312" w:hAnsi="宋体" w:eastAsia="仿宋_GB2312"/>
          <w:b/>
          <w:sz w:val="21"/>
          <w:szCs w:val="21"/>
        </w:rPr>
      </w:pPr>
      <w:r>
        <w:rPr>
          <w:rFonts w:hint="eastAsia" w:ascii="仿宋_GB2312" w:hAnsi="宋体" w:eastAsia="仿宋_GB2312"/>
          <w:b/>
          <w:sz w:val="21"/>
          <w:szCs w:val="21"/>
        </w:rPr>
        <w:t>表</w:t>
      </w:r>
      <w:r>
        <w:rPr>
          <w:rFonts w:hint="eastAsia" w:ascii="仿宋_GB2312" w:hAnsi="宋体" w:eastAsia="仿宋_GB2312"/>
          <w:b/>
          <w:sz w:val="21"/>
          <w:szCs w:val="21"/>
          <w:lang w:val="en-US" w:eastAsia="zh-CN"/>
        </w:rPr>
        <w:t>3-26</w:t>
      </w:r>
      <w:r>
        <w:rPr>
          <w:rFonts w:hint="eastAsia" w:ascii="仿宋_GB2312" w:hAnsi="宋体" w:eastAsia="仿宋_GB2312"/>
          <w:b/>
          <w:sz w:val="21"/>
          <w:szCs w:val="21"/>
        </w:rPr>
        <w:t xml:space="preserve">  </w:t>
      </w:r>
      <w:r>
        <w:rPr>
          <w:rFonts w:hint="eastAsia" w:ascii="仿宋" w:hAnsi="仿宋" w:eastAsia="仿宋"/>
          <w:b/>
          <w:sz w:val="21"/>
          <w:szCs w:val="21"/>
        </w:rPr>
        <w:t>Ⅲ</w:t>
      </w:r>
      <w:r>
        <w:rPr>
          <w:rFonts w:hint="eastAsia" w:ascii="仿宋_GB2312" w:hAnsi="宋体" w:eastAsia="仿宋_GB2312"/>
          <w:b/>
          <w:sz w:val="21"/>
          <w:szCs w:val="21"/>
        </w:rPr>
        <w:t>级</w:t>
      </w:r>
      <w:r>
        <w:rPr>
          <w:rFonts w:hint="eastAsia" w:ascii="仿宋_GB2312" w:hAnsi="宋体" w:eastAsia="仿宋_GB2312"/>
          <w:b/>
          <w:bCs w:val="0"/>
          <w:kern w:val="2"/>
          <w:sz w:val="21"/>
          <w:szCs w:val="21"/>
          <w:lang w:val="en-US" w:eastAsia="zh-CN"/>
        </w:rPr>
        <w:t>公共管理与公共服务用地</w:t>
      </w:r>
      <w:r>
        <w:rPr>
          <w:rFonts w:hint="eastAsia" w:ascii="仿宋_GB2312" w:hAnsi="宋体" w:eastAsia="仿宋_GB2312"/>
          <w:b/>
          <w:sz w:val="21"/>
          <w:szCs w:val="21"/>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3"/>
        <w:gridCol w:w="1101"/>
        <w:gridCol w:w="1101"/>
        <w:gridCol w:w="1101"/>
        <w:gridCol w:w="1101"/>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3"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距商服中心距离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道路类型</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交通便捷度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供水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0.08</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排水</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供暖</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人口密度</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-0.0043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距银行距离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小学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xml:space="preserve">    </w:t>
            </w:r>
            <w:r>
              <w:rPr>
                <w:rFonts w:hint="default" w:ascii="仿宋_GB2312" w:hAnsi="宋体" w:eastAsia="仿宋_GB2312" w:cs="仿宋_GB2312"/>
                <w:i w:val="0"/>
                <w:iCs w:val="0"/>
                <w:color w:val="000000"/>
                <w:kern w:val="0"/>
                <w:sz w:val="15"/>
                <w:szCs w:val="15"/>
                <w:u w:val="none"/>
                <w:lang w:val="en-US" w:eastAsia="zh-CN" w:bidi="ar"/>
              </w:rPr>
              <w:t>距</w:t>
            </w:r>
            <w:r>
              <w:rPr>
                <w:rFonts w:hint="eastAsia" w:ascii="仿宋_GB2312" w:hAnsi="宋体" w:eastAsia="仿宋_GB2312" w:cs="仿宋_GB2312"/>
                <w:i w:val="0"/>
                <w:iCs w:val="0"/>
                <w:color w:val="000000"/>
                <w:kern w:val="0"/>
                <w:sz w:val="15"/>
                <w:szCs w:val="15"/>
                <w:u w:val="none"/>
                <w:lang w:val="en-US" w:eastAsia="zh-CN" w:bidi="ar"/>
              </w:rPr>
              <w:t>中学</w:t>
            </w:r>
            <w:r>
              <w:rPr>
                <w:rFonts w:hint="default" w:ascii="仿宋_GB2312" w:hAnsi="宋体" w:eastAsia="仿宋_GB2312" w:cs="仿宋_GB2312"/>
                <w:i w:val="0"/>
                <w:iCs w:val="0"/>
                <w:color w:val="000000"/>
                <w:kern w:val="0"/>
                <w:sz w:val="15"/>
                <w:szCs w:val="15"/>
                <w:u w:val="none"/>
                <w:lang w:val="en-US" w:eastAsia="zh-CN" w:bidi="ar"/>
              </w:rPr>
              <w:t>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-0.0043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距医院距离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距文体场馆距离/广场距离</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-0.0043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环境条件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0.07</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-0.0050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宗地形状</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-0.0043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98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eastAsia" w:ascii="仿宋_GB2312" w:hAnsi="宋体" w:eastAsia="仿宋_GB2312" w:cs="仿宋_GB2312"/>
                <w:i w:val="0"/>
                <w:iCs w:val="0"/>
                <w:color w:val="000000"/>
                <w:kern w:val="0"/>
                <w:sz w:val="15"/>
                <w:szCs w:val="15"/>
                <w:u w:val="none"/>
                <w:lang w:val="en-US" w:eastAsia="zh-CN" w:bidi="ar"/>
              </w:rPr>
              <w:t>　　</w:t>
            </w:r>
            <w:r>
              <w:rPr>
                <w:rFonts w:hint="default" w:ascii="仿宋_GB2312" w:hAnsi="宋体" w:eastAsia="仿宋_GB2312" w:cs="仿宋_GB2312"/>
                <w:i w:val="0"/>
                <w:iCs w:val="0"/>
                <w:color w:val="000000"/>
                <w:kern w:val="0"/>
                <w:sz w:val="15"/>
                <w:szCs w:val="15"/>
                <w:u w:val="none"/>
                <w:lang w:val="en-US" w:eastAsia="zh-CN" w:bidi="ar"/>
              </w:rPr>
              <w:t>宗地面积</w:t>
            </w:r>
          </w:p>
        </w:tc>
        <w:tc>
          <w:tcPr>
            <w:tcW w:w="1233"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0.05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0.0057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-0.0036 </w:t>
            </w:r>
          </w:p>
        </w:tc>
        <w:tc>
          <w:tcPr>
            <w:tcW w:w="1097"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-0.0071 </w:t>
            </w:r>
          </w:p>
        </w:tc>
      </w:tr>
    </w:tbl>
    <w:p>
      <w:pPr>
        <w:rPr>
          <w:rFonts w:hint="eastAsia"/>
          <w:lang w:val="en-US" w:eastAsia="zh-CN"/>
        </w:rPr>
        <w:sectPr>
          <w:pgSz w:w="11907" w:h="16840"/>
          <w:pgMar w:top="1701" w:right="1701" w:bottom="1701" w:left="1701" w:header="1134" w:footer="1021" w:gutter="0"/>
          <w:pgNumType w:fmt="decimal"/>
          <w:cols w:space="720" w:num="1"/>
          <w:docGrid w:linePitch="271" w:charSpace="0"/>
        </w:sectPr>
      </w:pPr>
    </w:p>
    <w:p>
      <w:pPr>
        <w:keepNext w:val="0"/>
        <w:keepLines w:val="0"/>
        <w:pageBreakBefore w:val="0"/>
        <w:widowControl/>
        <w:kinsoku/>
        <w:wordWrap/>
        <w:overflowPunct/>
        <w:topLinePunct w:val="0"/>
        <w:autoSpaceDE/>
        <w:autoSpaceDN/>
        <w:bidi w:val="0"/>
        <w:adjustRightInd w:val="0"/>
        <w:snapToGrid w:val="0"/>
        <w:spacing w:before="272" w:beforeLines="100" w:line="360" w:lineRule="auto"/>
        <w:ind w:left="0" w:leftChars="0" w:firstLine="0" w:firstLineChars="0"/>
        <w:textAlignment w:val="auto"/>
        <w:rPr>
          <w:rFonts w:hint="eastAsia" w:ascii="仿宋_GB2312" w:eastAsia="仿宋_GB2312"/>
          <w:b w:val="0"/>
          <w:bCs/>
          <w:sz w:val="28"/>
          <w:szCs w:val="28"/>
        </w:rPr>
      </w:pPr>
      <w:r>
        <w:rPr>
          <w:rFonts w:hint="eastAsia" w:ascii="仿宋_GB2312" w:hAnsi="宋体" w:eastAsia="仿宋_GB2312"/>
          <w:b w:val="0"/>
          <w:bCs/>
          <w:sz w:val="28"/>
          <w:szCs w:val="28"/>
        </w:rPr>
        <w:t>（</w:t>
      </w:r>
      <w:r>
        <w:rPr>
          <w:rFonts w:hint="eastAsia" w:ascii="仿宋_GB2312" w:hAnsi="宋体" w:eastAsia="仿宋_GB2312"/>
          <w:b w:val="0"/>
          <w:bCs/>
          <w:sz w:val="28"/>
          <w:szCs w:val="28"/>
          <w:lang w:val="en-US" w:eastAsia="zh-CN"/>
        </w:rPr>
        <w:t>5</w:t>
      </w:r>
      <w:r>
        <w:rPr>
          <w:rFonts w:hint="eastAsia" w:ascii="仿宋_GB2312" w:hAnsi="宋体" w:eastAsia="仿宋_GB2312"/>
          <w:b w:val="0"/>
          <w:bCs/>
          <w:sz w:val="28"/>
          <w:szCs w:val="28"/>
        </w:rPr>
        <w:t>）</w:t>
      </w:r>
      <w:r>
        <w:rPr>
          <w:rFonts w:hint="eastAsia" w:ascii="仿宋_GB2312" w:hAnsi="宋体" w:eastAsia="仿宋_GB2312"/>
          <w:b w:val="0"/>
          <w:bCs/>
          <w:kern w:val="2"/>
          <w:sz w:val="28"/>
          <w:szCs w:val="28"/>
          <w:lang w:val="en-US" w:eastAsia="zh-CN"/>
        </w:rPr>
        <w:t>公用设施用地</w:t>
      </w:r>
      <w:r>
        <w:rPr>
          <w:rFonts w:hint="eastAsia" w:ascii="仿宋_GB2312" w:hAnsi="宋体" w:eastAsia="仿宋_GB2312"/>
          <w:b w:val="0"/>
          <w:bCs/>
          <w:kern w:val="2"/>
          <w:sz w:val="28"/>
          <w:szCs w:val="28"/>
        </w:rPr>
        <w:t>地价影响因素指标说明表及修正系数表</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eastAsia="仿宋_GB2312"/>
        </w:rPr>
      </w:pPr>
      <w:r>
        <w:rPr>
          <w:rFonts w:hint="eastAsia" w:ascii="仿宋_GB2312" w:hAnsi="宋体" w:eastAsia="仿宋_GB2312"/>
          <w:b/>
          <w:sz w:val="24"/>
        </w:rPr>
        <w:t>表</w:t>
      </w:r>
      <w:r>
        <w:rPr>
          <w:rFonts w:hint="eastAsia" w:ascii="仿宋_GB2312" w:hAnsi="宋体" w:eastAsia="仿宋_GB2312"/>
          <w:b/>
          <w:sz w:val="24"/>
          <w:lang w:val="en-US" w:eastAsia="zh-CN"/>
        </w:rPr>
        <w:t>3-27</w:t>
      </w:r>
      <w:r>
        <w:rPr>
          <w:rFonts w:hint="eastAsia" w:ascii="仿宋_GB2312" w:hAnsi="宋体" w:eastAsia="仿宋_GB2312"/>
          <w:b/>
          <w:sz w:val="24"/>
        </w:rPr>
        <w:t xml:space="preserve">   Ⅰ级</w:t>
      </w:r>
      <w:r>
        <w:rPr>
          <w:rFonts w:hint="eastAsia" w:ascii="仿宋_GB2312" w:hAnsi="宋体" w:eastAsia="仿宋_GB2312"/>
          <w:b/>
          <w:sz w:val="24"/>
          <w:lang w:val="en-US" w:eastAsia="zh-CN"/>
        </w:rPr>
        <w:t>公用设施用地</w:t>
      </w:r>
      <w:r>
        <w:rPr>
          <w:rFonts w:hint="eastAsia" w:ascii="仿宋_GB2312" w:hAnsi="宋体" w:eastAsia="仿宋_GB2312"/>
          <w:b/>
          <w:sz w:val="24"/>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95"/>
        <w:gridCol w:w="1718"/>
        <w:gridCol w:w="1413"/>
        <w:gridCol w:w="1224"/>
        <w:gridCol w:w="1224"/>
        <w:gridCol w:w="1224"/>
        <w:gridCol w:w="1223"/>
      </w:tblGrid>
      <w:tr>
        <w:tblPrEx>
          <w:tblCellMar>
            <w:top w:w="0" w:type="dxa"/>
            <w:left w:w="108" w:type="dxa"/>
            <w:bottom w:w="0" w:type="dxa"/>
            <w:right w:w="108" w:type="dxa"/>
          </w:tblCellMar>
        </w:tblPrEx>
        <w:trPr>
          <w:trHeight w:val="283" w:hRule="atLeast"/>
          <w:jc w:val="center"/>
        </w:trPr>
        <w:tc>
          <w:tcPr>
            <w:tcW w:w="241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影响因素</w:t>
            </w:r>
          </w:p>
        </w:tc>
        <w:tc>
          <w:tcPr>
            <w:tcW w:w="141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较优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一般</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较劣</w:t>
            </w:r>
          </w:p>
        </w:tc>
        <w:tc>
          <w:tcPr>
            <w:tcW w:w="1223"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eastAsia="zh-CN"/>
              </w:rPr>
              <w:t>　　</w:t>
            </w:r>
            <w:r>
              <w:rPr>
                <w:rFonts w:hint="eastAsia" w:ascii="仿宋_GB2312" w:hAnsi="宋体" w:eastAsia="仿宋_GB2312" w:cs="宋体"/>
                <w:sz w:val="15"/>
                <w:szCs w:val="15"/>
              </w:rPr>
              <w:t>劣</w:t>
            </w:r>
          </w:p>
        </w:tc>
      </w:tr>
      <w:tr>
        <w:tblPrEx>
          <w:tblCellMar>
            <w:top w:w="0" w:type="dxa"/>
            <w:left w:w="108" w:type="dxa"/>
            <w:bottom w:w="0" w:type="dxa"/>
            <w:right w:w="108" w:type="dxa"/>
          </w:tblCellMar>
        </w:tblPrEx>
        <w:trPr>
          <w:trHeight w:val="283" w:hRule="atLeast"/>
          <w:jc w:val="center"/>
        </w:trPr>
        <w:tc>
          <w:tcPr>
            <w:tcW w:w="695"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道路通达度</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区域内有主、次干道通过，道路通达度好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区域内有主干道通过，道路通达度较好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区域内有次干道通过，道路通达性一般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区域内有支路通过，道路通达性较差</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区域内以巷道为主，道路通达性差</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交通便捷度</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道路交通运行顺畅、车辆可以自由行驶、乘客舒适程度较高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车辆可以较高速行驶、乘客舒适程度较高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道路交通流量较大、车速较慢、且交通处于不稳定流状态</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道路交通流量较大、车速慢、且交通处于停滞流状态</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eastAsia" w:ascii="仿宋_GB2312" w:hAnsi="宋体" w:eastAsia="仿宋_GB2312" w:cs="宋体"/>
                <w:sz w:val="15"/>
                <w:szCs w:val="15"/>
              </w:rPr>
              <w:t>货运站/物流园区</w:t>
            </w:r>
            <w:r>
              <w:rPr>
                <w:rFonts w:hint="eastAsia" w:ascii="仿宋_GB2312" w:hAnsi="宋体" w:eastAsia="仿宋_GB2312" w:cs="宋体"/>
                <w:sz w:val="15"/>
                <w:szCs w:val="15"/>
                <w:lang w:val="en-US" w:eastAsia="zh-CN"/>
              </w:rPr>
              <w:t>(米)</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[0,700)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[700,900)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[900,1100)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[1100,1300)</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≥1300</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供水管道密集，设施完善</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供水管道较密集，设施较完善</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供水管道均匀，基本配套设施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供水管道稀疏，有少数配套设施</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无集中供水</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排水</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rPr>
            </w:pPr>
            <w:r>
              <w:rPr>
                <w:rFonts w:hint="default" w:ascii="仿宋_GB2312" w:hAnsi="宋体" w:eastAsia="仿宋_GB2312" w:cs="宋体"/>
                <w:sz w:val="15"/>
                <w:szCs w:val="15"/>
              </w:rPr>
              <w:t>有雨排和污排且通畅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rPr>
            </w:pPr>
            <w:r>
              <w:rPr>
                <w:rFonts w:hint="default" w:ascii="仿宋_GB2312" w:hAnsi="宋体" w:eastAsia="仿宋_GB2312" w:cs="宋体"/>
                <w:sz w:val="15"/>
                <w:szCs w:val="15"/>
              </w:rPr>
              <w:t>有雨排和污排</w:t>
            </w:r>
            <w:r>
              <w:rPr>
                <w:rFonts w:hint="eastAsia" w:ascii="仿宋_GB2312" w:hAnsi="宋体" w:eastAsia="仿宋_GB2312" w:cs="宋体"/>
                <w:sz w:val="15"/>
                <w:szCs w:val="15"/>
              </w:rPr>
              <w:t>基本</w:t>
            </w:r>
            <w:r>
              <w:rPr>
                <w:rFonts w:hint="default" w:ascii="仿宋_GB2312" w:hAnsi="宋体" w:eastAsia="仿宋_GB2312" w:cs="宋体"/>
                <w:sz w:val="15"/>
                <w:szCs w:val="15"/>
              </w:rPr>
              <w:t>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rPr>
            </w:pPr>
            <w:r>
              <w:rPr>
                <w:rFonts w:hint="default" w:ascii="仿宋_GB2312" w:hAnsi="宋体" w:eastAsia="仿宋_GB2312" w:cs="宋体"/>
                <w:sz w:val="15"/>
                <w:szCs w:val="15"/>
              </w:rPr>
              <w:t>只有污排</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rPr>
            </w:pPr>
            <w:r>
              <w:rPr>
                <w:rFonts w:hint="default" w:ascii="仿宋_GB2312" w:hAnsi="宋体" w:eastAsia="仿宋_GB2312" w:cs="宋体"/>
                <w:sz w:val="15"/>
                <w:szCs w:val="15"/>
              </w:rPr>
              <w:t>只有雨排</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无排水系统</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地质条件好，地基承载力强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地质条件较好，地基承载力较强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地质条件一般，地基承载力一般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地质条件较差，地基承载力较差</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地质条件差，地基承载力差</w:t>
            </w:r>
          </w:p>
        </w:tc>
      </w:tr>
      <w:tr>
        <w:tblPrEx>
          <w:tblCellMar>
            <w:top w:w="0" w:type="dxa"/>
            <w:left w:w="108" w:type="dxa"/>
            <w:bottom w:w="0" w:type="dxa"/>
            <w:right w:w="108" w:type="dxa"/>
          </w:tblCellMar>
        </w:tblPrEx>
        <w:trPr>
          <w:trHeight w:val="283" w:hRule="atLeast"/>
          <w:jc w:val="center"/>
        </w:trPr>
        <w:tc>
          <w:tcPr>
            <w:tcW w:w="695" w:type="dxa"/>
            <w:vMerge w:val="restart"/>
            <w:tcBorders>
              <w:top w:val="nil"/>
              <w:left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个别</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宗地形状</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形状规则极有利于土地利用</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形状规则对土地利用较有利</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形状不规则，对土地利用有一定影响</w:t>
            </w:r>
          </w:p>
        </w:tc>
        <w:tc>
          <w:tcPr>
            <w:tcW w:w="122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形状极不规则，对土地利用影响严重</w:t>
            </w:r>
          </w:p>
        </w:tc>
      </w:tr>
      <w:tr>
        <w:tblPrEx>
          <w:tblCellMar>
            <w:top w:w="0" w:type="dxa"/>
            <w:left w:w="108" w:type="dxa"/>
            <w:bottom w:w="0" w:type="dxa"/>
            <w:right w:w="108" w:type="dxa"/>
          </w:tblCellMar>
        </w:tblPrEx>
        <w:trPr>
          <w:trHeight w:val="283" w:hRule="atLeast"/>
          <w:jc w:val="center"/>
        </w:trPr>
        <w:tc>
          <w:tcPr>
            <w:tcW w:w="695" w:type="dxa"/>
            <w:vMerge w:val="continue"/>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r>
              <w:rPr>
                <w:rFonts w:hint="eastAsia" w:ascii="仿宋_GB2312" w:hAnsi="宋体" w:eastAsia="仿宋_GB2312" w:cs="宋体"/>
                <w:sz w:val="15"/>
                <w:szCs w:val="15"/>
                <w:lang w:eastAsia="zh-CN"/>
              </w:rPr>
              <w:t>　　</w:t>
            </w:r>
          </w:p>
        </w:tc>
        <w:tc>
          <w:tcPr>
            <w:tcW w:w="1718"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宗地面积</w:t>
            </w:r>
          </w:p>
        </w:tc>
        <w:tc>
          <w:tcPr>
            <w:tcW w:w="14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面积适中，较符合土地利用类型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面积偏大或偏小，对土地利用有一定影响</w:t>
            </w:r>
          </w:p>
        </w:tc>
        <w:tc>
          <w:tcPr>
            <w:tcW w:w="1223" w:type="dxa"/>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面积过大或过小，不符合土地利用类型</w:t>
            </w:r>
          </w:p>
        </w:tc>
      </w:tr>
    </w:tbl>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eastAsia="仿宋_GB2312"/>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 xml:space="preserve">3-28  </w:t>
      </w:r>
      <w:r>
        <w:rPr>
          <w:rFonts w:hint="eastAsia" w:ascii="仿宋_GB2312" w:hAnsi="宋体" w:eastAsia="仿宋_GB2312"/>
          <w:b/>
          <w:sz w:val="24"/>
        </w:rPr>
        <w:t>Ⅰ级</w:t>
      </w:r>
      <w:r>
        <w:rPr>
          <w:rFonts w:hint="eastAsia" w:ascii="仿宋_GB2312" w:hAnsi="宋体" w:eastAsia="仿宋_GB2312"/>
          <w:b/>
          <w:sz w:val="24"/>
          <w:lang w:val="en-US" w:eastAsia="zh-CN"/>
        </w:rPr>
        <w:t>公用设施用地</w:t>
      </w:r>
      <w:r>
        <w:rPr>
          <w:rFonts w:hint="eastAsia" w:ascii="仿宋_GB2312" w:hAnsi="宋体" w:eastAsia="仿宋_GB2312"/>
          <w:b/>
          <w:sz w:val="24"/>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1"/>
        <w:gridCol w:w="1101"/>
        <w:gridCol w:w="1101"/>
        <w:gridCol w:w="1101"/>
        <w:gridCol w:w="11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道路通达度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0.16</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0.0194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0.0097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-0.0242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交通便捷度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0.14</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0.0170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-0.0106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r>
              <w:rPr>
                <w:rFonts w:hint="eastAsia" w:ascii="仿宋_GB2312" w:hAnsi="宋体" w:eastAsia="仿宋_GB2312" w:cs="宋体"/>
                <w:sz w:val="15"/>
                <w:szCs w:val="15"/>
                <w:lang w:eastAsia="zh-CN"/>
              </w:rPr>
              <w:t>货运站/物流园区</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0.15</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-0.0114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-0.0227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w:t>
            </w:r>
            <w:r>
              <w:rPr>
                <w:rFonts w:hint="eastAsia" w:ascii="仿宋_GB2312" w:hAnsi="宋体" w:eastAsia="仿宋_GB2312" w:cs="仿宋_GB2312"/>
                <w:i w:val="0"/>
                <w:iCs w:val="0"/>
                <w:color w:val="000000"/>
                <w:kern w:val="0"/>
                <w:sz w:val="15"/>
                <w:szCs w:val="15"/>
                <w:u w:val="none"/>
                <w:lang w:val="en-US" w:eastAsia="zh-CN" w:bidi="ar"/>
              </w:rPr>
              <w:t>0</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-0.0076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排水</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0.12</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-0.0091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0.13</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0.0158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0.0079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宗地形状</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w:t>
            </w:r>
            <w:r>
              <w:rPr>
                <w:rFonts w:hint="eastAsia" w:ascii="仿宋_GB2312" w:hAnsi="宋体" w:eastAsia="仿宋_GB2312" w:cs="仿宋_GB2312"/>
                <w:i w:val="0"/>
                <w:iCs w:val="0"/>
                <w:color w:val="000000"/>
                <w:kern w:val="0"/>
                <w:sz w:val="15"/>
                <w:szCs w:val="15"/>
                <w:u w:val="none"/>
                <w:lang w:val="en-US" w:eastAsia="zh-CN" w:bidi="ar"/>
              </w:rPr>
              <w:t>0</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-0.0076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bidi="ar-SA"/>
              </w:rPr>
            </w:pPr>
            <w:r>
              <w:rPr>
                <w:rFonts w:hint="eastAsia" w:ascii="仿宋_GB2312" w:hAnsi="宋体" w:eastAsia="仿宋_GB2312" w:cs="宋体"/>
                <w:sz w:val="15"/>
                <w:szCs w:val="15"/>
              </w:rPr>
              <w:t>宗地面积</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0.1</w:t>
            </w:r>
            <w:r>
              <w:rPr>
                <w:rFonts w:hint="eastAsia" w:ascii="仿宋_GB2312" w:hAnsi="宋体" w:eastAsia="仿宋_GB2312" w:cs="仿宋_GB2312"/>
                <w:i w:val="0"/>
                <w:iCs w:val="0"/>
                <w:color w:val="000000"/>
                <w:kern w:val="0"/>
                <w:sz w:val="15"/>
                <w:szCs w:val="15"/>
                <w:u w:val="none"/>
                <w:lang w:val="en-US" w:eastAsia="zh-CN" w:bidi="ar"/>
              </w:rPr>
              <w:t>0</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0.0061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-0.0076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-0.0152 </w:t>
            </w:r>
          </w:p>
        </w:tc>
      </w:tr>
    </w:tbl>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hAnsi="宋体" w:eastAsia="仿宋_GB2312"/>
          <w:b/>
          <w:sz w:val="24"/>
          <w:lang w:eastAsia="zh-CN"/>
        </w:rPr>
        <w:sectPr>
          <w:pgSz w:w="11907" w:h="16840"/>
          <w:pgMar w:top="1701" w:right="1701" w:bottom="1701" w:left="1701" w:header="1134" w:footer="1021" w:gutter="0"/>
          <w:pgNumType w:fmt="decimal"/>
          <w:cols w:space="720" w:num="1"/>
          <w:docGrid w:linePitch="271" w:charSpace="0"/>
        </w:sectPr>
      </w:pPr>
      <w:r>
        <w:rPr>
          <w:rFonts w:hint="eastAsia" w:ascii="仿宋_GB2312" w:hAnsi="宋体" w:eastAsia="仿宋_GB2312"/>
          <w:b/>
          <w:sz w:val="24"/>
          <w:lang w:eastAsia="zh-CN"/>
        </w:rPr>
        <w:t>　　</w:t>
      </w:r>
    </w:p>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eastAsia="仿宋_GB2312"/>
          <w:highlight w:val="none"/>
        </w:rPr>
      </w:pPr>
      <w:r>
        <w:rPr>
          <w:rFonts w:hint="eastAsia" w:ascii="仿宋_GB2312" w:hAnsi="宋体" w:eastAsia="仿宋_GB2312"/>
          <w:b/>
          <w:sz w:val="24"/>
          <w:highlight w:val="none"/>
        </w:rPr>
        <w:t>表</w:t>
      </w:r>
      <w:r>
        <w:rPr>
          <w:rFonts w:hint="eastAsia" w:ascii="仿宋_GB2312" w:hAnsi="宋体" w:eastAsia="仿宋_GB2312"/>
          <w:b/>
          <w:sz w:val="24"/>
          <w:highlight w:val="none"/>
          <w:lang w:val="en-US" w:eastAsia="zh-CN"/>
        </w:rPr>
        <w:t>3-29</w:t>
      </w:r>
      <w:r>
        <w:rPr>
          <w:rFonts w:hint="eastAsia" w:ascii="仿宋_GB2312" w:hAnsi="宋体" w:eastAsia="仿宋_GB2312"/>
          <w:b/>
          <w:sz w:val="24"/>
          <w:highlight w:val="none"/>
        </w:rPr>
        <w:t xml:space="preserve">  Ⅱ级</w:t>
      </w:r>
      <w:r>
        <w:rPr>
          <w:rFonts w:hint="eastAsia" w:ascii="仿宋_GB2312" w:hAnsi="宋体" w:eastAsia="仿宋_GB2312"/>
          <w:b/>
          <w:sz w:val="24"/>
          <w:highlight w:val="none"/>
          <w:lang w:val="en-US" w:eastAsia="zh-CN"/>
        </w:rPr>
        <w:t>公用设施用地</w:t>
      </w:r>
      <w:r>
        <w:rPr>
          <w:rFonts w:hint="eastAsia" w:ascii="仿宋_GB2312" w:hAnsi="宋体" w:eastAsia="仿宋_GB2312"/>
          <w:b/>
          <w:sz w:val="24"/>
          <w:highlight w:val="none"/>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95"/>
        <w:gridCol w:w="1913"/>
        <w:gridCol w:w="1224"/>
        <w:gridCol w:w="1224"/>
        <w:gridCol w:w="1224"/>
        <w:gridCol w:w="1224"/>
        <w:gridCol w:w="1217"/>
      </w:tblGrid>
      <w:tr>
        <w:tblPrEx>
          <w:tblCellMar>
            <w:top w:w="0" w:type="dxa"/>
            <w:left w:w="108" w:type="dxa"/>
            <w:bottom w:w="0" w:type="dxa"/>
            <w:right w:w="108" w:type="dxa"/>
          </w:tblCellMar>
        </w:tblPrEx>
        <w:trPr>
          <w:trHeight w:val="397" w:hRule="atLeast"/>
          <w:jc w:val="center"/>
        </w:trPr>
        <w:tc>
          <w:tcPr>
            <w:tcW w:w="26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影响因素</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较优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一般</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较劣</w:t>
            </w:r>
          </w:p>
        </w:tc>
        <w:tc>
          <w:tcPr>
            <w:tcW w:w="121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劣</w:t>
            </w:r>
          </w:p>
        </w:tc>
      </w:tr>
      <w:tr>
        <w:tblPrEx>
          <w:tblCellMar>
            <w:top w:w="0" w:type="dxa"/>
            <w:left w:w="108" w:type="dxa"/>
            <w:bottom w:w="0" w:type="dxa"/>
            <w:right w:w="108" w:type="dxa"/>
          </w:tblCellMar>
        </w:tblPrEx>
        <w:trPr>
          <w:trHeight w:val="397" w:hRule="atLeast"/>
          <w:jc w:val="center"/>
        </w:trPr>
        <w:tc>
          <w:tcPr>
            <w:tcW w:w="695"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道路通达度</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区域内有主、次干道通过，道路通达度好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区域内有主干道通过，道路通达度较好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区域内有次干道通过，道路通达性一般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区域内有支路通过，道路通达性较差</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区域内以巷道为主，道路通达性差</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交通便捷度</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道路交通运行顺畅、车辆可以自由行驶、乘客舒适程度较高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车辆可以较高速行驶、乘客舒适程度较高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道路交通流量较大、车速较慢、且交通处于不稳定流状态</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道路交通流量较大、车速慢、且交通处于停滞流状态</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货运站/物流园区</w:t>
            </w:r>
            <w:r>
              <w:rPr>
                <w:rFonts w:hint="eastAsia" w:ascii="仿宋_GB2312" w:hAnsi="宋体" w:eastAsia="仿宋_GB2312" w:cs="宋体"/>
                <w:sz w:val="15"/>
                <w:szCs w:val="15"/>
                <w:lang w:val="en-US" w:eastAsia="zh-CN"/>
              </w:rPr>
              <w:t>(米)</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[0,800)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[800,1000)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[1000,1200)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[1200,1400)</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≥1400</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集中供水充足、保证率98%以上</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集中供水较充足、保证率98%-95%</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集中供水基本充足、保证率90%-95%</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集中供水保证率低、保证率90%以下</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无集中供水</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排水</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有雨排和污排且通畅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有雨排和污排基本通畅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只有污排</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只有雨排</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无排水系统</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地质条件好，地基承载力强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地质条件较好，地基承载力较强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地质条件一般，地基承载力一般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地质条件较差，地基承载力较差</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地质条件差，地基承载力差</w:t>
            </w:r>
          </w:p>
        </w:tc>
      </w:tr>
      <w:tr>
        <w:tblPrEx>
          <w:tblCellMar>
            <w:top w:w="0" w:type="dxa"/>
            <w:left w:w="108" w:type="dxa"/>
            <w:bottom w:w="0" w:type="dxa"/>
            <w:right w:w="108" w:type="dxa"/>
          </w:tblCellMar>
        </w:tblPrEx>
        <w:trPr>
          <w:trHeight w:val="397" w:hRule="atLeast"/>
          <w:jc w:val="center"/>
        </w:trPr>
        <w:tc>
          <w:tcPr>
            <w:tcW w:w="695"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个别</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宗地形状</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形状规则极有利于土地利用</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形状规则对土地利用较有利</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形状不规则，对土地利用有一定影响</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形状极不规则，对土地利用影响严重</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宗地面积</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面积适中，较符合土地利用类型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面积偏大或偏小，对土地利用有一定影响</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面积过大或过小，不符合土地利用类型</w:t>
            </w:r>
          </w:p>
        </w:tc>
      </w:tr>
    </w:tbl>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3-30</w:t>
      </w:r>
      <w:r>
        <w:rPr>
          <w:rFonts w:hint="eastAsia" w:ascii="仿宋_GB2312" w:hAnsi="宋体" w:eastAsia="仿宋_GB2312"/>
          <w:b/>
          <w:sz w:val="24"/>
        </w:rPr>
        <w:t xml:space="preserve"> Ⅱ级</w:t>
      </w:r>
      <w:r>
        <w:rPr>
          <w:rFonts w:hint="eastAsia" w:ascii="仿宋_GB2312" w:hAnsi="宋体" w:eastAsia="仿宋_GB2312"/>
          <w:b/>
          <w:sz w:val="24"/>
          <w:lang w:val="en-US" w:eastAsia="zh-CN"/>
        </w:rPr>
        <w:t>公用设施用地</w:t>
      </w:r>
      <w:r>
        <w:rPr>
          <w:rFonts w:hint="eastAsia" w:ascii="仿宋_GB2312" w:hAnsi="宋体" w:eastAsia="仿宋_GB2312"/>
          <w:b/>
          <w:sz w:val="24"/>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1"/>
        <w:gridCol w:w="1101"/>
        <w:gridCol w:w="1101"/>
        <w:gridCol w:w="1101"/>
        <w:gridCol w:w="11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道路通达度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0.16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0.0320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-0.0096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-0.0192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交通便捷度</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0.14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0.0280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-0.0084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-0.0168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r>
              <w:rPr>
                <w:rFonts w:hint="eastAsia" w:ascii="仿宋_GB2312" w:hAnsi="宋体" w:eastAsia="仿宋_GB2312" w:cs="宋体"/>
                <w:sz w:val="15"/>
                <w:szCs w:val="15"/>
                <w:lang w:eastAsia="zh-CN"/>
              </w:rPr>
              <w:t>货运站/物流园区</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0.15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0.0300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-0.0090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0.10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排水</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0.12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0.0240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-0.0072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-0.0144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0.13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0.0260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0.0130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-0.0078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-0.0156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宗地形状</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0.10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bidi="ar-SA"/>
              </w:rPr>
            </w:pPr>
            <w:r>
              <w:rPr>
                <w:rFonts w:hint="eastAsia" w:ascii="仿宋_GB2312" w:hAnsi="宋体" w:eastAsia="仿宋_GB2312" w:cs="宋体"/>
                <w:sz w:val="15"/>
                <w:szCs w:val="15"/>
              </w:rPr>
              <w:t>宗地面积</w:t>
            </w:r>
          </w:p>
        </w:tc>
        <w:tc>
          <w:tcPr>
            <w:tcW w:w="123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0.10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0.0200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0.0000 </w:t>
            </w:r>
          </w:p>
        </w:tc>
        <w:tc>
          <w:tcPr>
            <w:tcW w:w="1101"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-0.0060 </w:t>
            </w:r>
          </w:p>
        </w:tc>
        <w:tc>
          <w:tcPr>
            <w:tcW w:w="1099" w:type="dxa"/>
            <w:noWrap w:val="0"/>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宋体" w:eastAsia="仿宋_GB2312" w:cs="仿宋_GB2312"/>
                <w:i w:val="0"/>
                <w:iCs w:val="0"/>
                <w:color w:val="000000"/>
                <w:kern w:val="0"/>
                <w:sz w:val="15"/>
                <w:szCs w:val="15"/>
                <w:u w:val="none"/>
                <w:lang w:val="en-US" w:eastAsia="zh-CN" w:bidi="ar"/>
              </w:rPr>
            </w:pPr>
            <w:r>
              <w:rPr>
                <w:rFonts w:hint="default" w:ascii="仿宋_GB2312" w:hAnsi="宋体" w:eastAsia="仿宋_GB2312" w:cs="仿宋_GB2312"/>
                <w:i w:val="0"/>
                <w:iCs w:val="0"/>
                <w:color w:val="000000"/>
                <w:kern w:val="0"/>
                <w:sz w:val="15"/>
                <w:szCs w:val="15"/>
                <w:u w:val="none"/>
                <w:lang w:val="en-US" w:eastAsia="zh-CN" w:bidi="ar"/>
              </w:rPr>
              <w:t xml:space="preserve">-0.0120 </w:t>
            </w:r>
          </w:p>
        </w:tc>
      </w:tr>
    </w:tbl>
    <w:p>
      <w:pPr>
        <w:spacing w:line="360" w:lineRule="auto"/>
        <w:ind w:firstLine="0" w:firstLineChars="0"/>
        <w:rPr>
          <w:rFonts w:hint="eastAsia" w:ascii="仿宋_GB2312" w:eastAsia="仿宋_GB2312"/>
          <w:b/>
          <w:sz w:val="24"/>
          <w:lang w:eastAsia="zh-CN"/>
        </w:rPr>
        <w:sectPr>
          <w:pgSz w:w="11907" w:h="16840"/>
          <w:pgMar w:top="1701" w:right="1701" w:bottom="1701" w:left="1701" w:header="1134" w:footer="1021" w:gutter="0"/>
          <w:pgNumType w:fmt="decimal"/>
          <w:cols w:space="720" w:num="1"/>
          <w:docGrid w:linePitch="271" w:charSpace="0"/>
        </w:sectPr>
      </w:pPr>
    </w:p>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eastAsia="仿宋_GB2312"/>
        </w:rPr>
      </w:pPr>
      <w:r>
        <w:rPr>
          <w:rFonts w:hint="eastAsia"/>
          <w:lang w:val="en-US" w:eastAsia="zh-CN"/>
        </w:rPr>
        <w:t xml:space="preserve">  </w:t>
      </w:r>
      <w:r>
        <w:rPr>
          <w:rFonts w:hint="eastAsia"/>
          <w:highlight w:val="none"/>
          <w:lang w:val="en-US" w:eastAsia="zh-CN"/>
        </w:rPr>
        <w:t xml:space="preserve"> </w:t>
      </w:r>
      <w:r>
        <w:rPr>
          <w:rFonts w:hint="eastAsia" w:ascii="仿宋_GB2312" w:hAnsi="宋体" w:eastAsia="仿宋_GB2312"/>
          <w:b/>
          <w:sz w:val="24"/>
          <w:highlight w:val="none"/>
        </w:rPr>
        <w:t>表</w:t>
      </w:r>
      <w:r>
        <w:rPr>
          <w:rFonts w:hint="eastAsia" w:ascii="仿宋_GB2312" w:hAnsi="宋体" w:eastAsia="仿宋_GB2312"/>
          <w:b/>
          <w:sz w:val="24"/>
          <w:highlight w:val="none"/>
          <w:lang w:val="en-US" w:eastAsia="zh-CN"/>
        </w:rPr>
        <w:t>3-31</w:t>
      </w:r>
      <w:r>
        <w:rPr>
          <w:rFonts w:hint="eastAsia" w:ascii="仿宋_GB2312" w:hAnsi="宋体" w:eastAsia="仿宋_GB2312"/>
          <w:b/>
          <w:sz w:val="24"/>
          <w:highlight w:val="none"/>
        </w:rPr>
        <w:t xml:space="preserve">  </w:t>
      </w:r>
      <w:r>
        <w:rPr>
          <w:rFonts w:hint="eastAsia" w:ascii="仿宋" w:hAnsi="仿宋" w:eastAsia="仿宋"/>
          <w:b/>
          <w:sz w:val="24"/>
          <w:highlight w:val="none"/>
        </w:rPr>
        <w:t>Ⅲ</w:t>
      </w:r>
      <w:r>
        <w:rPr>
          <w:rFonts w:hint="eastAsia" w:ascii="仿宋_GB2312" w:hAnsi="宋体" w:eastAsia="仿宋_GB2312"/>
          <w:b/>
          <w:sz w:val="24"/>
          <w:highlight w:val="none"/>
        </w:rPr>
        <w:t>级</w:t>
      </w:r>
      <w:r>
        <w:rPr>
          <w:rFonts w:hint="eastAsia" w:ascii="仿宋_GB2312" w:hAnsi="宋体" w:eastAsia="仿宋_GB2312"/>
          <w:b/>
          <w:sz w:val="24"/>
          <w:highlight w:val="none"/>
          <w:lang w:val="en-US" w:eastAsia="zh-CN"/>
        </w:rPr>
        <w:t>公用设施用地</w:t>
      </w:r>
      <w:r>
        <w:rPr>
          <w:rFonts w:hint="eastAsia" w:ascii="仿宋_GB2312" w:hAnsi="宋体" w:eastAsia="仿宋_GB2312"/>
          <w:b/>
          <w:sz w:val="24"/>
          <w:highlight w:val="none"/>
        </w:rPr>
        <w:t>地价区位因素及个别因素修正系数指标说明表</w:t>
      </w:r>
    </w:p>
    <w:tbl>
      <w:tblPr>
        <w:tblStyle w:val="8"/>
        <w:tblW w:w="0" w:type="auto"/>
        <w:jc w:val="center"/>
        <w:tblLayout w:type="fixed"/>
        <w:tblCellMar>
          <w:top w:w="0" w:type="dxa"/>
          <w:left w:w="108" w:type="dxa"/>
          <w:bottom w:w="0" w:type="dxa"/>
          <w:right w:w="108" w:type="dxa"/>
        </w:tblCellMar>
      </w:tblPr>
      <w:tblGrid>
        <w:gridCol w:w="695"/>
        <w:gridCol w:w="1913"/>
        <w:gridCol w:w="1224"/>
        <w:gridCol w:w="1224"/>
        <w:gridCol w:w="1224"/>
        <w:gridCol w:w="1224"/>
        <w:gridCol w:w="1217"/>
      </w:tblGrid>
      <w:tr>
        <w:tblPrEx>
          <w:tblCellMar>
            <w:top w:w="0" w:type="dxa"/>
            <w:left w:w="108" w:type="dxa"/>
            <w:bottom w:w="0" w:type="dxa"/>
            <w:right w:w="108" w:type="dxa"/>
          </w:tblCellMar>
        </w:tblPrEx>
        <w:trPr>
          <w:trHeight w:val="397" w:hRule="atLeast"/>
          <w:jc w:val="center"/>
        </w:trPr>
        <w:tc>
          <w:tcPr>
            <w:tcW w:w="26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影响因素</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较优</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一般</w:t>
            </w: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较劣</w:t>
            </w:r>
          </w:p>
        </w:tc>
        <w:tc>
          <w:tcPr>
            <w:tcW w:w="1217"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劣</w:t>
            </w:r>
          </w:p>
        </w:tc>
      </w:tr>
      <w:tr>
        <w:tblPrEx>
          <w:tblCellMar>
            <w:top w:w="0" w:type="dxa"/>
            <w:left w:w="108" w:type="dxa"/>
            <w:bottom w:w="0" w:type="dxa"/>
            <w:right w:w="108" w:type="dxa"/>
          </w:tblCellMar>
        </w:tblPrEx>
        <w:trPr>
          <w:trHeight w:val="397" w:hRule="atLeast"/>
          <w:jc w:val="center"/>
        </w:trPr>
        <w:tc>
          <w:tcPr>
            <w:tcW w:w="695"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道路通达度</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区域内有主、次干道通过，道路通达度好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区域内有主干道通过，道路通达度较好</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区域内有次干道通过，道路通达性一般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区域内有支路通过，道路通达性较差</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区域内以巷道为主，道路通达性差</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交通便捷度</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道路交通运行顺畅、车辆可以自由行驶、乘客舒适程度较高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车辆可以较高速行驶、乘客舒适程度较高</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道路交通流量较大、车速较慢、且交通处于不稳定流状态</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道路交通流量较大、车速慢、且交通处于停滞流状态</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Times New Roman"/>
                <w:sz w:val="15"/>
                <w:szCs w:val="15"/>
                <w:lang w:val="en-US" w:eastAsia="zh-CN"/>
              </w:rPr>
              <w:t>道路交通流量较大、车速慢、且交通处于严重停滞流状态</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货运站/物流园区</w:t>
            </w:r>
            <w:r>
              <w:rPr>
                <w:rFonts w:hint="eastAsia" w:ascii="仿宋_GB2312" w:hAnsi="宋体" w:eastAsia="仿宋_GB2312" w:cs="宋体"/>
                <w:sz w:val="15"/>
                <w:szCs w:val="15"/>
                <w:lang w:val="en-US" w:eastAsia="zh-CN"/>
              </w:rPr>
              <w:t>(米)</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[0,1000)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[1000,1200)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[1200,1400)</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[1400,1600)</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lang w:val="en-US" w:eastAsia="zh-CN"/>
              </w:rPr>
              <w:t>≥1600</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集中供水充足、保证率98%以上</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集中供水较充足、保证率98%-95%</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集中供水基本充足、保证率90%-95%</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集中供水保证率低、保证率90%以下</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无集中供水</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排水</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有雨排和污排且通畅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有雨排和污排基本通畅</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只有污排</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只有雨排</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无排水系统</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地质条件好，地基承载力强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地质条件较好，地基承载力较强</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地质条件一般，地基承载力一般</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地质条件较差，地基承载力较差</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地质条件差，地基承载力差</w:t>
            </w:r>
          </w:p>
        </w:tc>
      </w:tr>
      <w:tr>
        <w:tblPrEx>
          <w:tblCellMar>
            <w:top w:w="0" w:type="dxa"/>
            <w:left w:w="108" w:type="dxa"/>
            <w:bottom w:w="0" w:type="dxa"/>
            <w:right w:w="108" w:type="dxa"/>
          </w:tblCellMar>
        </w:tblPrEx>
        <w:trPr>
          <w:trHeight w:val="397" w:hRule="atLeast"/>
          <w:jc w:val="center"/>
        </w:trPr>
        <w:tc>
          <w:tcPr>
            <w:tcW w:w="695" w:type="dxa"/>
            <w:vMerge w:val="restart"/>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个别</w:t>
            </w:r>
          </w:p>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因素</w:t>
            </w: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宗地形状</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形状规则极有利于土地利用</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形状规则对土地利用较有利</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形状不规则，对土地利用有一定影响</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形状极不规则，对土地利用影响严重</w:t>
            </w:r>
          </w:p>
        </w:tc>
      </w:tr>
      <w:tr>
        <w:tblPrEx>
          <w:tblCellMar>
            <w:top w:w="0" w:type="dxa"/>
            <w:left w:w="108" w:type="dxa"/>
            <w:bottom w:w="0" w:type="dxa"/>
            <w:right w:w="108" w:type="dxa"/>
          </w:tblCellMar>
        </w:tblPrEx>
        <w:trPr>
          <w:trHeight w:val="397" w:hRule="atLeast"/>
          <w:jc w:val="center"/>
        </w:trPr>
        <w:tc>
          <w:tcPr>
            <w:tcW w:w="695"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p>
        </w:tc>
        <w:tc>
          <w:tcPr>
            <w:tcW w:w="1913"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宗地面积</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面积适中，较符合土地利用类型</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面积偏大或偏小，对土地利用无不良影响</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面积偏大或偏小，对土地利用有一定影响</w:t>
            </w:r>
          </w:p>
        </w:tc>
        <w:tc>
          <w:tcPr>
            <w:tcW w:w="1217"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面积过大或过小，不符合土地利用类型</w:t>
            </w:r>
          </w:p>
        </w:tc>
      </w:tr>
    </w:tbl>
    <w:p>
      <w:pPr>
        <w:keepNext w:val="0"/>
        <w:keepLines w:val="0"/>
        <w:pageBreakBefore w:val="0"/>
        <w:widowControl/>
        <w:kinsoku/>
        <w:wordWrap/>
        <w:overflowPunct/>
        <w:topLinePunct w:val="0"/>
        <w:autoSpaceDE/>
        <w:autoSpaceDN/>
        <w:bidi w:val="0"/>
        <w:adjustRightInd/>
        <w:snapToGrid/>
        <w:spacing w:before="136" w:beforeLines="50" w:line="240" w:lineRule="auto"/>
        <w:ind w:firstLine="0" w:firstLineChars="0"/>
        <w:jc w:val="center"/>
        <w:textAlignment w:val="auto"/>
        <w:rPr>
          <w:rFonts w:hint="eastAsia" w:ascii="仿宋_GB2312" w:eastAsia="仿宋_GB2312"/>
          <w:b/>
          <w:sz w:val="24"/>
        </w:rPr>
      </w:pPr>
      <w:r>
        <w:rPr>
          <w:rFonts w:hint="eastAsia" w:ascii="仿宋_GB2312" w:hAnsi="宋体" w:eastAsia="仿宋_GB2312"/>
          <w:b/>
          <w:sz w:val="24"/>
          <w:lang w:eastAsia="zh-CN"/>
        </w:rPr>
        <w:t>　　</w:t>
      </w:r>
      <w:r>
        <w:rPr>
          <w:rFonts w:hint="eastAsia" w:ascii="仿宋_GB2312" w:hAnsi="宋体" w:eastAsia="仿宋_GB2312"/>
          <w:b/>
          <w:sz w:val="24"/>
        </w:rPr>
        <w:t>表</w:t>
      </w:r>
      <w:r>
        <w:rPr>
          <w:rFonts w:hint="eastAsia" w:ascii="仿宋_GB2312" w:hAnsi="宋体" w:eastAsia="仿宋_GB2312"/>
          <w:b/>
          <w:sz w:val="24"/>
          <w:lang w:val="en-US" w:eastAsia="zh-CN"/>
        </w:rPr>
        <w:t xml:space="preserve">3-32  </w:t>
      </w:r>
      <w:r>
        <w:rPr>
          <w:rFonts w:hint="eastAsia" w:ascii="仿宋" w:hAnsi="仿宋" w:eastAsia="仿宋"/>
          <w:b/>
          <w:sz w:val="24"/>
        </w:rPr>
        <w:t>Ⅲ</w:t>
      </w:r>
      <w:r>
        <w:rPr>
          <w:rFonts w:hint="eastAsia" w:ascii="仿宋_GB2312" w:hAnsi="宋体" w:eastAsia="仿宋_GB2312"/>
          <w:b/>
          <w:sz w:val="24"/>
        </w:rPr>
        <w:t>级</w:t>
      </w:r>
      <w:r>
        <w:rPr>
          <w:rFonts w:hint="eastAsia" w:ascii="仿宋_GB2312" w:hAnsi="宋体" w:eastAsia="仿宋_GB2312"/>
          <w:b/>
          <w:sz w:val="24"/>
          <w:lang w:val="en-US" w:eastAsia="zh-CN"/>
        </w:rPr>
        <w:t>公用设施用地</w:t>
      </w:r>
      <w:r>
        <w:rPr>
          <w:rFonts w:hint="eastAsia" w:ascii="仿宋_GB2312" w:hAnsi="宋体" w:eastAsia="仿宋_GB2312"/>
          <w:b/>
          <w:sz w:val="24"/>
        </w:rPr>
        <w:t>地价区位因素及个别因素修正系数表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1231"/>
        <w:gridCol w:w="1101"/>
        <w:gridCol w:w="1101"/>
        <w:gridCol w:w="1101"/>
        <w:gridCol w:w="110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lang w:eastAsia="zh-CN"/>
              </w:rPr>
              <w:t>　　</w:t>
            </w:r>
            <w:r>
              <w:rPr>
                <w:rFonts w:hint="eastAsia" w:ascii="仿宋_GB2312" w:hAnsi="宋体" w:eastAsia="仿宋_GB2312"/>
                <w:sz w:val="15"/>
                <w:szCs w:val="15"/>
              </w:rPr>
              <w:t>因子</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权重值</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较优</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一般</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较劣</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sz w:val="15"/>
                <w:szCs w:val="15"/>
              </w:rPr>
            </w:pPr>
            <w:r>
              <w:rPr>
                <w:rFonts w:hint="eastAsia" w:ascii="仿宋_GB2312" w:hAnsi="宋体" w:eastAsia="仿宋_GB2312"/>
                <w:sz w:val="15"/>
                <w:szCs w:val="15"/>
              </w:rPr>
              <w:t>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道路通达度</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0.16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0.0363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0.0181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0.0000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-0.0107 </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-0.0213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交通便捷度</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0.14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0.0317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0.0159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0.0000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-0.0093 </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-0.0187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eastAsia="zh-CN"/>
              </w:rPr>
            </w:pPr>
            <w:r>
              <w:rPr>
                <w:rFonts w:hint="eastAsia" w:ascii="仿宋_GB2312" w:hAnsi="宋体" w:eastAsia="仿宋_GB2312" w:cs="宋体"/>
                <w:sz w:val="15"/>
                <w:szCs w:val="15"/>
                <w:lang w:eastAsia="zh-CN"/>
              </w:rPr>
              <w:t>货运站/物流园区</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0.15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0.0340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0.0170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0.0000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-0.0100 </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供水</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0.10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0.0227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0.0113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0.0000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-0.0067 </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排水</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0.12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0.0272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0.0136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0.0000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-0.0080 </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-0.0160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rPr>
            </w:pPr>
            <w:r>
              <w:rPr>
                <w:rFonts w:hint="eastAsia" w:ascii="仿宋_GB2312" w:hAnsi="宋体" w:eastAsia="仿宋_GB2312" w:cs="宋体"/>
                <w:sz w:val="15"/>
                <w:szCs w:val="15"/>
              </w:rPr>
              <w:t>地基承载力</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0.13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0.0295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0.0147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0.0000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-0.0087 </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eastAsia" w:ascii="仿宋_GB2312" w:hAnsi="宋体" w:eastAsia="仿宋_GB2312" w:cs="宋体"/>
                <w:sz w:val="15"/>
                <w:szCs w:val="15"/>
                <w:lang w:val="en-US" w:eastAsia="zh-CN" w:bidi="ar-SA"/>
              </w:rPr>
            </w:pPr>
            <w:r>
              <w:rPr>
                <w:rFonts w:hint="eastAsia" w:ascii="仿宋_GB2312" w:hAnsi="宋体" w:eastAsia="仿宋_GB2312" w:cs="宋体"/>
                <w:sz w:val="15"/>
                <w:szCs w:val="15"/>
              </w:rPr>
              <w:t>宗地形状</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0.10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0.0227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0.0113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0.0000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-0.0067 </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7"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bidi="ar-SA"/>
              </w:rPr>
            </w:pPr>
            <w:r>
              <w:rPr>
                <w:rFonts w:hint="eastAsia" w:ascii="仿宋_GB2312" w:hAnsi="宋体" w:eastAsia="仿宋_GB2312" w:cs="宋体"/>
                <w:sz w:val="15"/>
                <w:szCs w:val="15"/>
              </w:rPr>
              <w:t>宗地面积</w:t>
            </w:r>
          </w:p>
        </w:tc>
        <w:tc>
          <w:tcPr>
            <w:tcW w:w="123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0.10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0.0227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0.0113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0.0000 </w:t>
            </w:r>
          </w:p>
        </w:tc>
        <w:tc>
          <w:tcPr>
            <w:tcW w:w="1101"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-0.0067 </w:t>
            </w:r>
          </w:p>
        </w:tc>
        <w:tc>
          <w:tcPr>
            <w:tcW w:w="1099" w:type="dxa"/>
            <w:noWrap w:val="0"/>
            <w:vAlign w:val="center"/>
          </w:tcPr>
          <w:p>
            <w:pPr>
              <w:keepNext w:val="0"/>
              <w:keepLines w:val="0"/>
              <w:suppressLineNumbers w:val="0"/>
              <w:spacing w:before="0" w:beforeAutospacing="0" w:after="0" w:afterAutospacing="0" w:line="240" w:lineRule="auto"/>
              <w:ind w:left="0" w:right="0" w:firstLine="0" w:firstLineChars="0"/>
              <w:jc w:val="center"/>
              <w:rPr>
                <w:rFonts w:hint="default" w:ascii="仿宋_GB2312" w:hAnsi="宋体" w:eastAsia="仿宋_GB2312" w:cs="宋体"/>
                <w:sz w:val="15"/>
                <w:szCs w:val="15"/>
                <w:lang w:val="en-US" w:eastAsia="zh-CN"/>
              </w:rPr>
            </w:pPr>
            <w:r>
              <w:rPr>
                <w:rFonts w:hint="default" w:ascii="仿宋_GB2312" w:hAnsi="宋体" w:eastAsia="仿宋_GB2312" w:cs="宋体"/>
                <w:sz w:val="15"/>
                <w:szCs w:val="15"/>
                <w:lang w:val="en-US" w:eastAsia="zh-CN"/>
              </w:rPr>
              <w:t xml:space="preserve">-0.0133 </w:t>
            </w:r>
          </w:p>
        </w:tc>
      </w:tr>
    </w:tbl>
    <w:p>
      <w:pPr>
        <w:widowControl w:val="0"/>
        <w:numPr>
          <w:ilvl w:val="0"/>
          <w:numId w:val="0"/>
        </w:numPr>
        <w:jc w:val="both"/>
        <w:rPr>
          <w:rFonts w:hint="default"/>
          <w:lang w:val="en-US" w:eastAsia="zh-CN"/>
        </w:rPr>
        <w:sectPr>
          <w:pgSz w:w="11906" w:h="16838"/>
          <w:pgMar w:top="1440" w:right="1800" w:bottom="1440" w:left="1800" w:header="851" w:footer="992" w:gutter="0"/>
          <w:pgNumType w:fmt="decimal"/>
          <w:cols w:space="425" w:num="1"/>
          <w:docGrid w:type="lines" w:linePitch="312" w:charSpace="0"/>
        </w:sectPr>
      </w:pPr>
    </w:p>
    <w:p>
      <w:pPr>
        <w:pStyle w:val="2"/>
        <w:numPr>
          <w:ilvl w:val="0"/>
          <w:numId w:val="0"/>
        </w:numPr>
        <w:spacing w:before="0" w:after="0" w:line="500" w:lineRule="exact"/>
        <w:jc w:val="left"/>
        <w:rPr>
          <w:rFonts w:hint="eastAsia" w:ascii="黑体" w:hAnsi="宋体"/>
          <w:b w:val="0"/>
          <w:szCs w:val="30"/>
          <w:lang w:val="en-US" w:eastAsia="zh-CN"/>
        </w:rPr>
      </w:pPr>
      <w:r>
        <w:rPr>
          <w:rFonts w:hint="eastAsia" w:ascii="黑体" w:hAnsi="宋体"/>
          <w:b w:val="0"/>
          <w:szCs w:val="30"/>
          <w:lang w:val="en-US" w:eastAsia="zh-CN"/>
        </w:rPr>
        <w:t>四、</w:t>
      </w:r>
      <w:r>
        <w:rPr>
          <w:rFonts w:hint="eastAsia" w:ascii="黑体" w:hAnsi="宋体"/>
          <w:b w:val="0"/>
          <w:szCs w:val="30"/>
        </w:rPr>
        <w:t>基准地价</w:t>
      </w:r>
      <w:r>
        <w:rPr>
          <w:rFonts w:hint="eastAsia" w:ascii="黑体" w:hAnsi="宋体"/>
          <w:b w:val="0"/>
          <w:szCs w:val="30"/>
          <w:lang w:val="en-US" w:eastAsia="zh-CN"/>
        </w:rPr>
        <w:t>级别与基准地价图</w:t>
      </w: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表4-1  磴口县巴彦高勒镇商业服务业用地级别与基准地价图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suppressLineNumbers w:val="0"/>
              <w:adjustRightInd w:val="0"/>
              <w:snapToGrid w:val="0"/>
              <w:spacing w:before="0" w:beforeAutospacing="0" w:after="0" w:afterAutospacing="0" w:line="360" w:lineRule="auto"/>
              <w:ind w:left="0" w:right="0" w:firstLine="0" w:firstLineChars="0"/>
              <w:jc w:val="left"/>
              <w:rPr>
                <w:rFonts w:hint="eastAsia" w:ascii="宋体" w:hAnsi="宋体" w:eastAsia="宋体"/>
                <w:sz w:val="28"/>
                <w:szCs w:val="32"/>
                <w:vertAlign w:val="baseline"/>
                <w:lang w:eastAsia="zh-CN"/>
              </w:rPr>
            </w:pPr>
            <w:r>
              <w:rPr>
                <w:rFonts w:hint="eastAsia" w:ascii="宋体" w:hAnsi="宋体" w:eastAsia="宋体"/>
                <w:sz w:val="28"/>
                <w:szCs w:val="32"/>
                <w:vertAlign w:val="baseline"/>
                <w:lang w:eastAsia="zh-CN"/>
              </w:rPr>
              <w:drawing>
                <wp:inline distT="0" distB="0" distL="114300" distR="114300">
                  <wp:extent cx="5241925" cy="6207125"/>
                  <wp:effectExtent l="0" t="0" r="15875" b="3175"/>
                  <wp:docPr id="1" name="图片 1" descr="2024150822JSYJZ"/>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2024150822JSYJZ"/>
                          <pic:cNvPicPr>
                            <a:picLocks noChangeAspect="true"/>
                          </pic:cNvPicPr>
                        </pic:nvPicPr>
                        <pic:blipFill>
                          <a:blip r:embed="rId6"/>
                          <a:stretch>
                            <a:fillRect/>
                          </a:stretch>
                        </pic:blipFill>
                        <pic:spPr>
                          <a:xfrm>
                            <a:off x="0" y="0"/>
                            <a:ext cx="5241925" cy="6207125"/>
                          </a:xfrm>
                          <a:prstGeom prst="rect">
                            <a:avLst/>
                          </a:prstGeom>
                        </pic:spPr>
                      </pic:pic>
                    </a:graphicData>
                  </a:graphic>
                </wp:inline>
              </w:drawing>
            </w:r>
          </w:p>
        </w:tc>
      </w:tr>
    </w:tbl>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表4-2 磴口县巴彦高勒镇居住用地级别与基准地价图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2" w:hRule="atLeast"/>
        </w:trPr>
        <w:tc>
          <w:tcPr>
            <w:tcW w:w="7980" w:type="dxa"/>
          </w:tcPr>
          <w:p>
            <w:pPr>
              <w:keepNext w:val="0"/>
              <w:keepLines w:val="0"/>
              <w:suppressLineNumbers w:val="0"/>
              <w:adjustRightInd w:val="0"/>
              <w:snapToGrid w:val="0"/>
              <w:spacing w:before="0" w:beforeAutospacing="0" w:after="0" w:afterAutospacing="0" w:line="360" w:lineRule="auto"/>
              <w:ind w:left="0" w:right="0" w:firstLine="0" w:firstLineChars="0"/>
              <w:jc w:val="left"/>
              <w:rPr>
                <w:rFonts w:hint="eastAsia" w:ascii="宋体" w:hAnsi="宋体" w:eastAsia="宋体"/>
                <w:sz w:val="28"/>
                <w:szCs w:val="32"/>
                <w:vertAlign w:val="baseline"/>
                <w:lang w:eastAsia="zh-CN"/>
              </w:rPr>
            </w:pPr>
            <w:r>
              <w:rPr>
                <w:rFonts w:hint="eastAsia" w:ascii="宋体" w:hAnsi="宋体" w:eastAsia="宋体"/>
                <w:sz w:val="28"/>
                <w:szCs w:val="32"/>
                <w:vertAlign w:val="baseline"/>
                <w:lang w:eastAsia="zh-CN"/>
              </w:rPr>
              <w:drawing>
                <wp:inline distT="0" distB="0" distL="114300" distR="114300">
                  <wp:extent cx="5241925" cy="6207125"/>
                  <wp:effectExtent l="0" t="0" r="15875" b="3175"/>
                  <wp:docPr id="3" name="图片 3" descr="2024150822JZJJZ"/>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2024150822JZJJZ"/>
                          <pic:cNvPicPr>
                            <a:picLocks noChangeAspect="true"/>
                          </pic:cNvPicPr>
                        </pic:nvPicPr>
                        <pic:blipFill>
                          <a:blip r:embed="rId7"/>
                          <a:stretch>
                            <a:fillRect/>
                          </a:stretch>
                        </pic:blipFill>
                        <pic:spPr>
                          <a:xfrm>
                            <a:off x="0" y="0"/>
                            <a:ext cx="5241925" cy="6207125"/>
                          </a:xfrm>
                          <a:prstGeom prst="rect">
                            <a:avLst/>
                          </a:prstGeom>
                        </pic:spPr>
                      </pic:pic>
                    </a:graphicData>
                  </a:graphic>
                </wp:inline>
              </w:drawing>
            </w:r>
          </w:p>
        </w:tc>
      </w:tr>
    </w:tbl>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表4-3 磴口县巴彦高勒镇工矿用地级别与基准地价图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suppressLineNumbers w:val="0"/>
              <w:adjustRightInd w:val="0"/>
              <w:snapToGrid w:val="0"/>
              <w:spacing w:before="0" w:beforeAutospacing="0" w:after="0" w:afterAutospacing="0" w:line="360" w:lineRule="auto"/>
              <w:ind w:left="0" w:right="0" w:firstLine="0" w:firstLineChars="0"/>
              <w:jc w:val="left"/>
              <w:rPr>
                <w:rFonts w:hint="eastAsia" w:ascii="宋体" w:hAnsi="宋体" w:eastAsia="宋体"/>
                <w:sz w:val="28"/>
                <w:szCs w:val="32"/>
                <w:vertAlign w:val="baseline"/>
                <w:lang w:eastAsia="zh-CN"/>
              </w:rPr>
            </w:pPr>
            <w:r>
              <w:rPr>
                <w:rFonts w:hint="eastAsia" w:ascii="宋体" w:hAnsi="宋体" w:eastAsia="宋体"/>
                <w:sz w:val="28"/>
                <w:szCs w:val="32"/>
                <w:vertAlign w:val="baseline"/>
                <w:lang w:eastAsia="zh-CN"/>
              </w:rPr>
              <w:drawing>
                <wp:inline distT="0" distB="0" distL="114300" distR="114300">
                  <wp:extent cx="5241925" cy="6207125"/>
                  <wp:effectExtent l="0" t="0" r="15875" b="3175"/>
                  <wp:docPr id="5" name="图片 5" descr="2024150822JGYJZ"/>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2024150822JGYJZ"/>
                          <pic:cNvPicPr>
                            <a:picLocks noChangeAspect="true"/>
                          </pic:cNvPicPr>
                        </pic:nvPicPr>
                        <pic:blipFill>
                          <a:blip r:embed="rId8"/>
                          <a:stretch>
                            <a:fillRect/>
                          </a:stretch>
                        </pic:blipFill>
                        <pic:spPr>
                          <a:xfrm>
                            <a:off x="0" y="0"/>
                            <a:ext cx="5241925" cy="6207125"/>
                          </a:xfrm>
                          <a:prstGeom prst="rect">
                            <a:avLst/>
                          </a:prstGeom>
                        </pic:spPr>
                      </pic:pic>
                    </a:graphicData>
                  </a:graphic>
                </wp:inline>
              </w:drawing>
            </w:r>
          </w:p>
        </w:tc>
      </w:tr>
    </w:tbl>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表4-4 磴口县巴彦高勒镇公共管理与公共服务用地级别与基准地价图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suppressLineNumbers w:val="0"/>
              <w:adjustRightInd w:val="0"/>
              <w:snapToGrid w:val="0"/>
              <w:spacing w:before="0" w:beforeAutospacing="0" w:after="0" w:afterAutospacing="0" w:line="360" w:lineRule="auto"/>
              <w:ind w:left="0" w:right="0" w:firstLine="0" w:firstLineChars="0"/>
              <w:jc w:val="left"/>
              <w:rPr>
                <w:rFonts w:hint="eastAsia" w:ascii="宋体" w:hAnsi="宋体" w:eastAsia="宋体"/>
                <w:sz w:val="28"/>
                <w:szCs w:val="32"/>
                <w:vertAlign w:val="baseline"/>
                <w:lang w:eastAsia="zh-CN"/>
              </w:rPr>
            </w:pPr>
            <w:r>
              <w:rPr>
                <w:rFonts w:hint="eastAsia" w:ascii="宋体" w:hAnsi="宋体" w:eastAsia="宋体"/>
                <w:sz w:val="28"/>
                <w:szCs w:val="32"/>
                <w:vertAlign w:val="baseline"/>
                <w:lang w:eastAsia="zh-CN"/>
              </w:rPr>
              <w:drawing>
                <wp:inline distT="0" distB="0" distL="114300" distR="114300">
                  <wp:extent cx="5241925" cy="6207125"/>
                  <wp:effectExtent l="0" t="0" r="15875" b="3175"/>
                  <wp:docPr id="7" name="图片 7" descr="2024150822JFWJZ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2024150822JFWJZ1"/>
                          <pic:cNvPicPr>
                            <a:picLocks noChangeAspect="true"/>
                          </pic:cNvPicPr>
                        </pic:nvPicPr>
                        <pic:blipFill>
                          <a:blip r:embed="rId9"/>
                          <a:stretch>
                            <a:fillRect/>
                          </a:stretch>
                        </pic:blipFill>
                        <pic:spPr>
                          <a:xfrm>
                            <a:off x="0" y="0"/>
                            <a:ext cx="5241925" cy="6207125"/>
                          </a:xfrm>
                          <a:prstGeom prst="rect">
                            <a:avLst/>
                          </a:prstGeom>
                        </pic:spPr>
                      </pic:pic>
                    </a:graphicData>
                  </a:graphic>
                </wp:inline>
              </w:drawing>
            </w:r>
          </w:p>
        </w:tc>
      </w:tr>
    </w:tbl>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bookmarkStart w:id="0" w:name="_GoBack"/>
      <w:bookmarkEnd w:id="0"/>
    </w:p>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表4-5 磴口县巴彦高勒镇公用设施用地级别与基准地价图</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suppressLineNumbers w:val="0"/>
              <w:adjustRightInd w:val="0"/>
              <w:snapToGrid w:val="0"/>
              <w:spacing w:before="0" w:beforeAutospacing="0" w:after="0" w:afterAutospacing="0" w:line="360" w:lineRule="auto"/>
              <w:ind w:left="0" w:right="0" w:firstLine="0" w:firstLineChars="0"/>
              <w:jc w:val="left"/>
              <w:rPr>
                <w:rFonts w:hint="eastAsia" w:ascii="宋体" w:hAnsi="宋体" w:eastAsia="宋体"/>
                <w:sz w:val="28"/>
                <w:szCs w:val="32"/>
                <w:vertAlign w:val="baseline"/>
                <w:lang w:eastAsia="zh-CN"/>
              </w:rPr>
            </w:pPr>
            <w:r>
              <w:rPr>
                <w:rFonts w:hint="eastAsia" w:ascii="宋体" w:hAnsi="宋体" w:eastAsia="宋体"/>
                <w:sz w:val="28"/>
                <w:szCs w:val="32"/>
                <w:vertAlign w:val="baseline"/>
                <w:lang w:eastAsia="zh-CN"/>
              </w:rPr>
              <w:drawing>
                <wp:inline distT="0" distB="0" distL="114300" distR="114300">
                  <wp:extent cx="5241925" cy="6207125"/>
                  <wp:effectExtent l="0" t="0" r="15875" b="3175"/>
                  <wp:docPr id="9" name="图片 9" descr="2024150822JFWJZ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2024150822JFWJZ2"/>
                          <pic:cNvPicPr>
                            <a:picLocks noChangeAspect="true"/>
                          </pic:cNvPicPr>
                        </pic:nvPicPr>
                        <pic:blipFill>
                          <a:blip r:embed="rId10"/>
                          <a:stretch>
                            <a:fillRect/>
                          </a:stretch>
                        </pic:blipFill>
                        <pic:spPr>
                          <a:xfrm>
                            <a:off x="0" y="0"/>
                            <a:ext cx="5241925" cy="6207125"/>
                          </a:xfrm>
                          <a:prstGeom prst="rect">
                            <a:avLst/>
                          </a:prstGeom>
                        </pic:spPr>
                      </pic:pic>
                    </a:graphicData>
                  </a:graphic>
                </wp:inline>
              </w:drawing>
            </w:r>
          </w:p>
        </w:tc>
      </w:tr>
    </w:tbl>
    <w:p>
      <w:pPr>
        <w:rPr>
          <w:rFonts w:hint="eastAsia" w:ascii="宋体" w:hAnsi="宋体" w:eastAsia="宋体"/>
          <w:sz w:val="28"/>
          <w:szCs w:val="32"/>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6FC982"/>
    <w:multiLevelType w:val="singleLevel"/>
    <w:tmpl w:val="B16FC98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yMTI4YWNlY2UxMzljMTU3NzYzYzI1NjNhODdlZDIifQ=="/>
  </w:docVars>
  <w:rsids>
    <w:rsidRoot w:val="00167177"/>
    <w:rsid w:val="00167177"/>
    <w:rsid w:val="00255B37"/>
    <w:rsid w:val="00293A2E"/>
    <w:rsid w:val="00337DE0"/>
    <w:rsid w:val="004F050A"/>
    <w:rsid w:val="0076379D"/>
    <w:rsid w:val="008C7563"/>
    <w:rsid w:val="00D277AC"/>
    <w:rsid w:val="032B486B"/>
    <w:rsid w:val="04A942BA"/>
    <w:rsid w:val="078D7EC3"/>
    <w:rsid w:val="0A1E6855"/>
    <w:rsid w:val="0C7156BE"/>
    <w:rsid w:val="0FBB513C"/>
    <w:rsid w:val="112E27D9"/>
    <w:rsid w:val="14FB46BE"/>
    <w:rsid w:val="170B20C7"/>
    <w:rsid w:val="17363F9E"/>
    <w:rsid w:val="1D7E3096"/>
    <w:rsid w:val="1E982F7E"/>
    <w:rsid w:val="20084133"/>
    <w:rsid w:val="23C247F2"/>
    <w:rsid w:val="24D10F97"/>
    <w:rsid w:val="25AB6023"/>
    <w:rsid w:val="2609650F"/>
    <w:rsid w:val="2B3839B2"/>
    <w:rsid w:val="2D0F6B01"/>
    <w:rsid w:val="2D214A86"/>
    <w:rsid w:val="2FEA73B1"/>
    <w:rsid w:val="306E1D90"/>
    <w:rsid w:val="338302A0"/>
    <w:rsid w:val="348F22D5"/>
    <w:rsid w:val="34E6342A"/>
    <w:rsid w:val="380348F7"/>
    <w:rsid w:val="386D14BF"/>
    <w:rsid w:val="39754190"/>
    <w:rsid w:val="42AF5166"/>
    <w:rsid w:val="43195B8C"/>
    <w:rsid w:val="43432C09"/>
    <w:rsid w:val="45E6202E"/>
    <w:rsid w:val="463158E2"/>
    <w:rsid w:val="474B7B80"/>
    <w:rsid w:val="487E5F85"/>
    <w:rsid w:val="48AB24B0"/>
    <w:rsid w:val="4AD879E3"/>
    <w:rsid w:val="51D610EC"/>
    <w:rsid w:val="522E4515"/>
    <w:rsid w:val="52EE3799"/>
    <w:rsid w:val="578E650F"/>
    <w:rsid w:val="588A25E4"/>
    <w:rsid w:val="5AFF3461"/>
    <w:rsid w:val="5B417F1E"/>
    <w:rsid w:val="5BF07808"/>
    <w:rsid w:val="5C700ABB"/>
    <w:rsid w:val="5D843DD4"/>
    <w:rsid w:val="5DC32E6C"/>
    <w:rsid w:val="5DCD5A99"/>
    <w:rsid w:val="602E5C91"/>
    <w:rsid w:val="61D513C0"/>
    <w:rsid w:val="634951EE"/>
    <w:rsid w:val="655817FD"/>
    <w:rsid w:val="65897E59"/>
    <w:rsid w:val="67AE693B"/>
    <w:rsid w:val="6BB42046"/>
    <w:rsid w:val="6F7876DF"/>
    <w:rsid w:val="6FFB63C0"/>
    <w:rsid w:val="719D68ED"/>
    <w:rsid w:val="78B13B95"/>
    <w:rsid w:val="796E1A86"/>
    <w:rsid w:val="79DF39D3"/>
    <w:rsid w:val="7D831878"/>
    <w:rsid w:val="7E7BD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6" w:lineRule="auto"/>
      <w:outlineLvl w:val="2"/>
    </w:pPr>
    <w:rPr>
      <w:rFonts w:eastAsia="黑体"/>
      <w:b/>
      <w:bCs/>
      <w:sz w:val="30"/>
      <w:szCs w:val="32"/>
    </w:rPr>
  </w:style>
  <w:style w:type="character" w:default="1" w:styleId="10">
    <w:name w:val="Default Paragraph Font"/>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Plain Text"/>
    <w:basedOn w:val="1"/>
    <w:qFormat/>
    <w:uiPriority w:val="0"/>
    <w:pPr>
      <w:widowControl w:val="0"/>
      <w:jc w:val="both"/>
    </w:pPr>
    <w:rPr>
      <w:rFonts w:ascii="宋体" w:hAnsi="Courier New"/>
      <w:kern w:val="2"/>
      <w:sz w:val="21"/>
    </w:rPr>
  </w:style>
  <w:style w:type="paragraph" w:styleId="4">
    <w:name w:val="Date"/>
    <w:basedOn w:val="1"/>
    <w:next w:val="1"/>
    <w:link w:val="12"/>
    <w:semiHidden/>
    <w:unhideWhenUsed/>
    <w:qFormat/>
    <w:uiPriority w:val="99"/>
    <w:pPr>
      <w:ind w:left="100" w:leftChars="2500"/>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3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1">
    <w:name w:val="page number"/>
    <w:basedOn w:val="10"/>
    <w:qFormat/>
    <w:uiPriority w:val="0"/>
  </w:style>
  <w:style w:type="character" w:customStyle="1" w:styleId="12">
    <w:name w:val="日期 字符"/>
    <w:basedOn w:val="10"/>
    <w:link w:val="4"/>
    <w:semiHidden/>
    <w:qFormat/>
    <w:uiPriority w:val="99"/>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paragraph" w:customStyle="1" w:styleId="15">
    <w:name w:val="表格"/>
    <w:basedOn w:val="1"/>
    <w:qFormat/>
    <w:uiPriority w:val="0"/>
    <w:pPr>
      <w:widowControl/>
      <w:spacing w:line="300" w:lineRule="auto"/>
      <w:jc w:val="center"/>
    </w:pPr>
    <w:rPr>
      <w:rFonts w:ascii="宋体" w:hAnsi="宋体" w:eastAsia="仿宋_GB2312" w:cs="Times New Roman"/>
      <w:color w:val="000000"/>
      <w:kern w:val="28"/>
      <w:szCs w:val="20"/>
    </w:rPr>
  </w:style>
  <w:style w:type="character" w:customStyle="1" w:styleId="16">
    <w:name w:val="font21"/>
    <w:basedOn w:val="10"/>
    <w:qFormat/>
    <w:uiPriority w:val="0"/>
    <w:rPr>
      <w:rFonts w:hint="default" w:ascii="仿宋_GB2312" w:eastAsia="仿宋_GB2312" w:cs="仿宋_GB2312"/>
      <w:color w:val="000000"/>
      <w:sz w:val="15"/>
      <w:szCs w:val="15"/>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1405</Words>
  <Characters>1715</Characters>
  <Lines>1</Lines>
  <Paragraphs>1</Paragraphs>
  <TotalTime>3</TotalTime>
  <ScaleCrop>false</ScaleCrop>
  <LinksUpToDate>false</LinksUpToDate>
  <CharactersWithSpaces>1822</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2020-07-07T09:17:00Z</dcterms:created>
  <dc:creator>Z D</dc:creator>
  <cp:lastModifiedBy>user</cp:lastModifiedBy>
  <cp:lastPrinted>2024-11-11T10:29:04Z</cp:lastPrinted>
  <dcterms:modified xsi:type="dcterms:W3CDTF">2024-11-11T10:36:11Z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DF07C86B7D0B415E9127AA6E1FBECCBA</vt:lpwstr>
  </property>
</Properties>
</file>