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D935C">
      <w:pPr>
        <w:adjustRightInd w:val="0"/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</w:p>
    <w:p w14:paraId="7E12FDA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00" w:firstLineChars="200"/>
        <w:jc w:val="left"/>
        <w:textAlignment w:val="auto"/>
        <w:rPr>
          <w:rFonts w:ascii="黑体" w:hAnsi="宋体"/>
          <w:b w:val="0"/>
          <w:szCs w:val="30"/>
        </w:rPr>
      </w:pPr>
      <w:r>
        <w:rPr>
          <w:rFonts w:hint="eastAsia" w:ascii="黑体" w:hAnsi="宋体"/>
          <w:b w:val="0"/>
          <w:szCs w:val="30"/>
        </w:rPr>
        <w:t>一、</w:t>
      </w:r>
      <w:r>
        <w:rPr>
          <w:rFonts w:hint="eastAsia" w:ascii="黑体" w:hAnsi="宋体"/>
          <w:b w:val="0"/>
          <w:szCs w:val="30"/>
          <w:lang w:val="en-US" w:eastAsia="zh-CN"/>
        </w:rPr>
        <w:t>磴口县沙金套海苏木</w:t>
      </w:r>
      <w:r>
        <w:rPr>
          <w:rFonts w:hint="eastAsia" w:ascii="黑体" w:hAnsi="宋体"/>
          <w:b w:val="0"/>
          <w:szCs w:val="30"/>
        </w:rPr>
        <w:t xml:space="preserve">各类用地级别基准地价 </w:t>
      </w:r>
    </w:p>
    <w:p w14:paraId="4415B378"/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078"/>
        <w:gridCol w:w="1776"/>
        <w:gridCol w:w="1921"/>
        <w:gridCol w:w="1928"/>
      </w:tblGrid>
      <w:tr w14:paraId="1EEE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C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表1-1  沙金套海苏木各类用地基准地价表</w:t>
            </w:r>
          </w:p>
        </w:tc>
      </w:tr>
      <w:tr w14:paraId="6FF0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86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行政区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EA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用地类型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D3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级别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A4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地价（元/平方米）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DE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地价（万元/亩）</w:t>
            </w:r>
          </w:p>
        </w:tc>
      </w:tr>
      <w:tr w14:paraId="58EE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95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沙金套海苏木</w:t>
            </w:r>
          </w:p>
        </w:tc>
        <w:tc>
          <w:tcPr>
            <w:tcW w:w="1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2A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商业服务业用地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7A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Ⅰ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89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0E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7.33 </w:t>
            </w:r>
          </w:p>
        </w:tc>
      </w:tr>
      <w:tr w14:paraId="7FF3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D5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05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94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Ⅱ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12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4A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6.67 </w:t>
            </w:r>
          </w:p>
        </w:tc>
      </w:tr>
      <w:tr w14:paraId="202F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B0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01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居住用地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B6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Ⅰ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BC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D1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6.00 </w:t>
            </w:r>
          </w:p>
        </w:tc>
      </w:tr>
      <w:tr w14:paraId="3129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D8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21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6F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Ⅱ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96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FD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5.33 </w:t>
            </w:r>
          </w:p>
        </w:tc>
      </w:tr>
      <w:tr w14:paraId="440B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74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7E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工矿用地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05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Ⅰ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55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2C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4.87 </w:t>
            </w:r>
          </w:p>
        </w:tc>
      </w:tr>
      <w:tr w14:paraId="62CA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AC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6A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91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Ⅱ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26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5B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4.33 </w:t>
            </w:r>
          </w:p>
        </w:tc>
      </w:tr>
      <w:tr w14:paraId="0C93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A9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9B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公共管理与公共服务用地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1F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Ⅰ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18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E4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6.00 </w:t>
            </w:r>
          </w:p>
        </w:tc>
      </w:tr>
      <w:tr w14:paraId="0A4D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44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94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04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Ⅱ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43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B3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5.33 </w:t>
            </w:r>
          </w:p>
        </w:tc>
      </w:tr>
      <w:tr w14:paraId="59DE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C6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C3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公用设施用地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9E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Ⅰ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9F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F3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4.87 </w:t>
            </w:r>
          </w:p>
        </w:tc>
      </w:tr>
      <w:tr w14:paraId="4147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29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75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2D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Ⅱ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F1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A0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4.33 </w:t>
            </w:r>
          </w:p>
        </w:tc>
      </w:tr>
    </w:tbl>
    <w:p w14:paraId="14966532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p w14:paraId="33453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theme="minorBidi"/>
          <w:b w:val="0"/>
          <w:bCs/>
          <w:kern w:val="2"/>
          <w:sz w:val="30"/>
          <w:szCs w:val="30"/>
          <w:lang w:val="en-US" w:eastAsia="zh-CN" w:bidi="ar-SA"/>
        </w:rPr>
        <w:t>二、基准地价内涵说明</w:t>
      </w:r>
    </w:p>
    <w:p w14:paraId="5937829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59DE1F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表2-1 沙金套海苏木基准地价内涵说明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16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FF90F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84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本次制定的基准地价为磴口县沙金套海苏木58.81公顷范围内，按用途在以下设定条件下的土地使用权平均价格：</w:t>
            </w:r>
          </w:p>
          <w:p w14:paraId="13B736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1、评估期日：本次评估期日为2024年1月1日；</w:t>
            </w:r>
          </w:p>
          <w:p w14:paraId="756446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2、权利状况：土地权利状况为国有出让土地使用权；</w:t>
            </w:r>
          </w:p>
          <w:p w14:paraId="1DA452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3、土地使用年期：土地使用年期按法定最高出让年限设定，即商业服务业用地40年、居住用地70年、工矿用地50年、公共管理与公共服务用地和公用设施用地50年；</w:t>
            </w:r>
          </w:p>
          <w:p w14:paraId="5550F6B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4、土地开发程度：商业服务业用地、居住用地、公共管理与公共服务用地设定土地开发程度为 “五通一平”（宗地红线外通路、通讯、通电、通上水、通下水及宗地内场地平整）;工矿用地、公用设施用地设定土地开发程度为“四通一平”（宗地红线外通路、通讯、通电、通上水及宗地内场地平整）；</w:t>
            </w:r>
          </w:p>
          <w:p w14:paraId="098D28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5、容积率：根据测算确定各用途设定容积率，商业服务业用地1.2；居住用地、公共管理与公共服务用地1.0；工矿用地、公用设施用地0.8；</w:t>
            </w:r>
          </w:p>
          <w:p w14:paraId="07C967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default" w:ascii="宋体" w:hAnsi="宋体" w:eastAsia="宋体"/>
                <w:sz w:val="28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6、其他条件为宗地地价修正系数表中的“一般”条件。</w:t>
            </w:r>
          </w:p>
        </w:tc>
      </w:tr>
    </w:tbl>
    <w:p w14:paraId="0F2583BF"/>
    <w:p w14:paraId="1118E821"/>
    <w:p w14:paraId="59816CBD"/>
    <w:p w14:paraId="3FF79ABA"/>
    <w:p w14:paraId="49D938C0"/>
    <w:p w14:paraId="5E63BC3A"/>
    <w:p w14:paraId="266CDB91"/>
    <w:p w14:paraId="7EA38838"/>
    <w:p w14:paraId="10AC5FF0"/>
    <w:p w14:paraId="294331D9"/>
    <w:p w14:paraId="76CD01E9"/>
    <w:p w14:paraId="6AE5FEC3"/>
    <w:p w14:paraId="56F60F61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</w:pPr>
      <w:r>
        <w:rPr>
          <w:rFonts w:hint="eastAsia" w:ascii="黑体" w:hAnsi="宋体" w:eastAsia="黑体" w:cstheme="minorBidi"/>
          <w:b w:val="0"/>
          <w:bCs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 w:ascii="黑体" w:hAnsi="宋体"/>
          <w:b w:val="0"/>
          <w:szCs w:val="30"/>
          <w:lang w:val="en-US" w:eastAsia="zh-CN"/>
        </w:rPr>
        <w:t>基准地价影响因素指标说明表及修正系数表</w:t>
      </w:r>
    </w:p>
    <w:p w14:paraId="70E72C8C">
      <w:pPr>
        <w:spacing w:line="360" w:lineRule="auto"/>
        <w:ind w:right="-334" w:firstLine="0" w:firstLineChars="0"/>
        <w:rPr>
          <w:rFonts w:hint="eastAsia" w:ascii="仿宋_GB2312" w:hAnsi="宋体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（1）商业服务业用地地价影响因素指标说明表及修正系数表</w:t>
      </w:r>
    </w:p>
    <w:p w14:paraId="55647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　</w:t>
      </w:r>
      <w:r>
        <w:rPr>
          <w:rFonts w:hint="eastAsia" w:ascii="仿宋_GB2312" w:hAnsi="宋体" w:eastAsia="仿宋_GB2312"/>
          <w:b/>
          <w:sz w:val="24"/>
          <w:szCs w:val="24"/>
        </w:rPr>
        <w:t>表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3-1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Ⅰ级</w:t>
      </w:r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商业服务业用地</w:t>
      </w:r>
      <w:r>
        <w:rPr>
          <w:rFonts w:hint="eastAsia" w:ascii="仿宋_GB2312" w:hAnsi="宋体" w:eastAsia="仿宋_GB2312"/>
          <w:b/>
          <w:sz w:val="24"/>
          <w:szCs w:val="24"/>
        </w:rPr>
        <w:t>地价区位因素及个别因素修正系数指标说明表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70"/>
        <w:gridCol w:w="683"/>
        <w:gridCol w:w="404"/>
        <w:gridCol w:w="912"/>
        <w:gridCol w:w="283"/>
        <w:gridCol w:w="1084"/>
        <w:gridCol w:w="232"/>
        <w:gridCol w:w="1082"/>
        <w:gridCol w:w="114"/>
        <w:gridCol w:w="1173"/>
        <w:gridCol w:w="24"/>
        <w:gridCol w:w="1229"/>
      </w:tblGrid>
      <w:tr w14:paraId="357D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8D3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影响因素</w:t>
            </w:r>
          </w:p>
        </w:tc>
        <w:tc>
          <w:tcPr>
            <w:tcW w:w="7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00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优</w:t>
            </w:r>
          </w:p>
        </w:tc>
        <w:tc>
          <w:tcPr>
            <w:tcW w:w="8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D4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较优</w:t>
            </w:r>
          </w:p>
        </w:tc>
        <w:tc>
          <w:tcPr>
            <w:tcW w:w="7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BD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一般</w:t>
            </w:r>
          </w:p>
        </w:tc>
        <w:tc>
          <w:tcPr>
            <w:tcW w:w="7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07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较劣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75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劣</w:t>
            </w:r>
          </w:p>
        </w:tc>
      </w:tr>
      <w:tr w14:paraId="4DF2B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4D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区域因素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8E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道路类型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F47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混合型主干道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AE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生活型主干道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D2D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交通型主干道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773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次干道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19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支路</w:t>
            </w:r>
          </w:p>
        </w:tc>
      </w:tr>
      <w:tr w14:paraId="3B708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734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7D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交通便捷度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61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道路通达性好，交通便利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EFB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道路通达性较好，交通较便利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EB3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道路通达性一般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9C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7A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4606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DD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55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E4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供水管道密集，设施完善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6E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供水管道较密集，设施较完善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6E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供水管道均匀，基本配套设施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77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供水管道稀疏，有少数配套设施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C33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无集中供水</w:t>
            </w:r>
          </w:p>
        </w:tc>
      </w:tr>
      <w:tr w14:paraId="1926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87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C18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排水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7B3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有雨排和污排且通畅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A1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有雨排和污排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基本通畅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FC3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只有污排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AF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只有雨排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A0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无排水系统</w:t>
            </w:r>
          </w:p>
        </w:tc>
      </w:tr>
      <w:tr w14:paraId="18988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47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3A2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人口密度（人/平方千米）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EC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≥500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01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[400-500)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740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[300-400)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060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[200-300)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DC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＜200</w:t>
            </w:r>
          </w:p>
        </w:tc>
      </w:tr>
      <w:tr w14:paraId="06A17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F7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个别</w:t>
            </w:r>
          </w:p>
          <w:p w14:paraId="73C77E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09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EA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形状有利于土地利用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9D0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形状较规则，不影响土地利用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88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土地形状不规则，但利用正常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E7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形状不规则，对利用有影响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08E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形状不规则，对土地利用影响大</w:t>
            </w:r>
          </w:p>
        </w:tc>
      </w:tr>
      <w:tr w14:paraId="0EDA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8F9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33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宗地面积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5C2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面积大小特别适于土地利用类型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34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面积大小较适于土地利用类型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A68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面积大小对土地利用无影响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F5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相对土地利用类型偏大或偏小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64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面积大小不适合土地利用类型</w:t>
            </w:r>
          </w:p>
        </w:tc>
      </w:tr>
      <w:tr w14:paraId="21F72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5E5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38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宗地临街道路等级与通达性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B4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两面临主干道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94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两面临街、其中一面邻主干道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D0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一面临主干道或两面临次干道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52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一面临次干道或支路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1D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不临街</w:t>
            </w:r>
          </w:p>
        </w:tc>
      </w:tr>
      <w:tr w14:paraId="7A0BD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824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C4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临街宽度（米）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BF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≥15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7F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[10-15)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E1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[6-10)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F4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[3-6)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3E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＜3</w:t>
            </w:r>
          </w:p>
        </w:tc>
      </w:tr>
      <w:tr w14:paraId="52A6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31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99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临街深度（米）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CF0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＜6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51D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[6-10)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B6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[10-12)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2D4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[12-15)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8F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≥15</w:t>
            </w:r>
          </w:p>
        </w:tc>
      </w:tr>
      <w:tr w14:paraId="77296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28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F34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距商服中心距离（米）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0D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100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55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100-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)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B7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00)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86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00)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41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0</w:t>
            </w:r>
          </w:p>
        </w:tc>
      </w:tr>
      <w:tr w14:paraId="229A5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E5F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84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距车站距离（米）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A0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100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0B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100-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)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71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00)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67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00)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B2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0</w:t>
            </w:r>
          </w:p>
        </w:tc>
      </w:tr>
      <w:tr w14:paraId="67E5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F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表3-2   Ⅰ级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商业服务业用地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地价区位因素及个别因素修正系数表</w:t>
            </w:r>
          </w:p>
        </w:tc>
      </w:tr>
      <w:tr w14:paraId="4825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93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因子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67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权重值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9B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优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D3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较优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E39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BB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较劣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DA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劣</w:t>
            </w:r>
          </w:p>
        </w:tc>
      </w:tr>
      <w:tr w14:paraId="475D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24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道路类型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9CD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0.12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FE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0.0273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98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0.0136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8D9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25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-0.0158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98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-0.0316 </w:t>
            </w:r>
          </w:p>
        </w:tc>
      </w:tr>
      <w:tr w14:paraId="06DD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ED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交通便捷度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30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61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0.0227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A5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0.0114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0B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11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-0.0132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0A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-0.0264 </w:t>
            </w:r>
          </w:p>
        </w:tc>
      </w:tr>
      <w:tr w14:paraId="13E0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89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供水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22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07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0.0182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97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0.0091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D28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0B7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-0.0111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DB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-0.0221 </w:t>
            </w:r>
          </w:p>
        </w:tc>
      </w:tr>
      <w:tr w14:paraId="1783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47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排水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112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1F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0.0182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9E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0.0091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81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70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-0.0111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7A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-0.0221 </w:t>
            </w:r>
          </w:p>
        </w:tc>
      </w:tr>
      <w:tr w14:paraId="0F66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24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人口密度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79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90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0.0159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D8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18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86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-0.0097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A2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-0.0194 </w:t>
            </w:r>
          </w:p>
        </w:tc>
      </w:tr>
      <w:tr w14:paraId="33F0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0C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宗地形状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20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0.06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729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0.0136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E4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0.0068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0A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5D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-0.0083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E6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-0.0166 </w:t>
            </w:r>
          </w:p>
        </w:tc>
      </w:tr>
      <w:tr w14:paraId="4A56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0C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宗地面积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5E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0.06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CC9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0.0136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C5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0.0068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9D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57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-0.0083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8E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-0.0166 </w:t>
            </w:r>
          </w:p>
        </w:tc>
      </w:tr>
      <w:tr w14:paraId="2182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B8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宗地临街道路等级与通达性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AA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4E5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0.0159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A4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0B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06D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-0.0097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F4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-0.0194 </w:t>
            </w:r>
          </w:p>
        </w:tc>
      </w:tr>
      <w:tr w14:paraId="3E1A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6D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临街宽度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88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0.06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31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0.0136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F9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0.0068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58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DC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-0.0083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98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-0.0166 </w:t>
            </w:r>
          </w:p>
        </w:tc>
      </w:tr>
      <w:tr w14:paraId="4B53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6C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临街深度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194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0.06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104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0.0136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3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0.0068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CE0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B4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-0.0083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137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-0.0166 </w:t>
            </w:r>
          </w:p>
        </w:tc>
      </w:tr>
      <w:tr w14:paraId="4DA3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B1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距商服中心距离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3B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0.15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BE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0.0341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532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0.0170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005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55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-0.0208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92B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-0.0415 </w:t>
            </w:r>
          </w:p>
        </w:tc>
      </w:tr>
      <w:tr w14:paraId="2DCD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1A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距车站距离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9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0.09</w:t>
            </w:r>
          </w:p>
        </w:tc>
        <w:tc>
          <w:tcPr>
            <w:tcW w:w="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15C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0.0205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3B0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0.0102 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0E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32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-0.0125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25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-0.0249 </w:t>
            </w:r>
          </w:p>
        </w:tc>
      </w:tr>
    </w:tbl>
    <w:p w14:paraId="44B4D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</w:p>
    <w:p w14:paraId="301BC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</w:p>
    <w:p w14:paraId="693A7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</w:p>
    <w:p w14:paraId="222D9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</w:p>
    <w:p w14:paraId="0B147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</w:p>
    <w:p w14:paraId="688CE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</w:p>
    <w:p w14:paraId="724FA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表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3-3</w:t>
      </w:r>
      <w:r>
        <w:rPr>
          <w:rFonts w:hint="eastAsia" w:ascii="仿宋_GB2312" w:hAnsi="宋体" w:eastAsia="仿宋_GB2312"/>
          <w:b/>
          <w:sz w:val="24"/>
        </w:rPr>
        <w:t xml:space="preserve">  Ⅱ级</w:t>
      </w:r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商业服务业用地</w:t>
      </w:r>
      <w:r>
        <w:rPr>
          <w:rFonts w:hint="eastAsia" w:ascii="仿宋_GB2312" w:hAnsi="宋体" w:eastAsia="仿宋_GB2312"/>
          <w:b/>
          <w:sz w:val="24"/>
        </w:rPr>
        <w:t>地价区位因素及个别因素修正系数指标说明表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530"/>
        <w:gridCol w:w="804"/>
        <w:gridCol w:w="651"/>
        <w:gridCol w:w="388"/>
        <w:gridCol w:w="925"/>
        <w:gridCol w:w="266"/>
        <w:gridCol w:w="1101"/>
        <w:gridCol w:w="90"/>
        <w:gridCol w:w="1191"/>
        <w:gridCol w:w="31"/>
        <w:gridCol w:w="1162"/>
        <w:gridCol w:w="199"/>
        <w:gridCol w:w="1082"/>
        <w:gridCol w:w="97"/>
      </w:tblGrid>
      <w:tr w14:paraId="029F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11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2C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影响因素</w:t>
            </w:r>
          </w:p>
        </w:tc>
        <w:tc>
          <w:tcPr>
            <w:tcW w:w="7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20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优</w:t>
            </w:r>
          </w:p>
        </w:tc>
        <w:tc>
          <w:tcPr>
            <w:tcW w:w="8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09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较优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605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一般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0A3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较劣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BA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劣</w:t>
            </w:r>
          </w:p>
        </w:tc>
      </w:tr>
      <w:tr w14:paraId="5AF71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DC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区域因素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C1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道路类型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235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混合型主干道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5C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生活型主干道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D2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交通型主干道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586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次干道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009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支路</w:t>
            </w:r>
          </w:p>
        </w:tc>
      </w:tr>
      <w:tr w14:paraId="0D22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F9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8FE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交通便捷度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A6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道路通达性好，交通便利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F1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道路通达性较好，交通较便利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132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道路通达性一般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EA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87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393EB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87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A6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DA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供水管道密集，设施完善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08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供水管道较密集，设施较完善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23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供水管道均匀，基本配套设施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22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供水管道稀疏，有少数配套设施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C7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无集中供水</w:t>
            </w:r>
          </w:p>
        </w:tc>
      </w:tr>
      <w:tr w14:paraId="7D34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26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FF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排水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32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有雨排和污排且通畅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EA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有雨排和污排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基本通畅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37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只有污排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C9B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只有雨排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DF8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无排水系统</w:t>
            </w:r>
          </w:p>
        </w:tc>
      </w:tr>
      <w:tr w14:paraId="7860F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C2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61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人口密度（人/平方千米）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46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≥500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AC7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[400-500)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05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[300-400)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52F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[200-300)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2A6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＜200</w:t>
            </w:r>
          </w:p>
        </w:tc>
      </w:tr>
      <w:tr w14:paraId="7D4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ACE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个别</w:t>
            </w:r>
          </w:p>
          <w:p w14:paraId="680A4F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03B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CA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形状有利于土地利用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99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形状较规则，不影响土地利用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646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土地形状不规则，但利用正常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DB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形状不规则，对利用有影响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21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形状不规则，对土地利用影响大</w:t>
            </w:r>
          </w:p>
        </w:tc>
      </w:tr>
      <w:tr w14:paraId="73006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48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D3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宗地面积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ED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面积大小特别适于土地利用类型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0B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面积大小较适于土地利用类型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38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面积大小对土地利用无影响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E2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相对土地利用类型偏大或偏小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59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面积大小不适合土地利用类型</w:t>
            </w:r>
          </w:p>
        </w:tc>
      </w:tr>
      <w:tr w14:paraId="1BABF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90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440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宗地临街道路等级与通达性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1C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两面临主干道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68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两面临街、其中一面邻主干道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D0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一面临主干道或两面临次干道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A7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一面临次干道或支路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664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不临街</w:t>
            </w:r>
          </w:p>
        </w:tc>
      </w:tr>
      <w:tr w14:paraId="2A04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E8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CF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临街宽度（米）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66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≥15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8B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[10-15)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4F5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[6-10)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95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[3-6)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F6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＜3</w:t>
            </w:r>
          </w:p>
        </w:tc>
      </w:tr>
      <w:tr w14:paraId="5FCE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7A9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35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临街深度（米）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CC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＜6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31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[6-10)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97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[10-12)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3B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[12-15)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7F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≥15</w:t>
            </w:r>
          </w:p>
        </w:tc>
      </w:tr>
      <w:tr w14:paraId="6E7F6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F5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3F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距商服中心距离（米）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40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B1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)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663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)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A2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)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84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800</w:t>
            </w:r>
          </w:p>
        </w:tc>
      </w:tr>
      <w:tr w14:paraId="544B7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F72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FB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距车站距离（米）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B1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&lt;200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D5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[200,400)</w:t>
            </w:r>
          </w:p>
        </w:tc>
        <w:tc>
          <w:tcPr>
            <w:tcW w:w="77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1D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[400,600)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ED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[600,800)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0C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≥800</w:t>
            </w:r>
          </w:p>
        </w:tc>
      </w:tr>
      <w:tr w14:paraId="3142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695" w:hRule="atLeast"/>
          <w:jc w:val="center"/>
        </w:trPr>
        <w:tc>
          <w:tcPr>
            <w:tcW w:w="494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7D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/>
                <w:b/>
                <w:sz w:val="24"/>
                <w:highlight w:val="none"/>
              </w:rPr>
            </w:pPr>
          </w:p>
          <w:p w14:paraId="7F11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3-4   Ⅱ级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商业服务业用地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地价区位因素及个别因素修正系数表</w:t>
            </w:r>
          </w:p>
        </w:tc>
      </w:tr>
      <w:tr w14:paraId="7C8D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8F9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因子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0D1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权重值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BA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优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61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较优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D5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80B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较劣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8F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劣</w:t>
            </w:r>
          </w:p>
        </w:tc>
      </w:tr>
      <w:tr w14:paraId="2BBB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0F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道路类型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4F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0.12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CF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0.0012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8D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0.0006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7C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91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-0.0012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3D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-0.0024 </w:t>
            </w:r>
          </w:p>
        </w:tc>
      </w:tr>
      <w:tr w14:paraId="65D7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FE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交通便捷度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CE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4C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0.0010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CF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0.0005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E1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BA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-0.0010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F0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-0.0020 </w:t>
            </w:r>
          </w:p>
        </w:tc>
      </w:tr>
      <w:tr w14:paraId="0A8A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C4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供水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76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E7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0.0008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3A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0.0004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D91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02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-0.0008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3A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-0.0016 </w:t>
            </w:r>
          </w:p>
        </w:tc>
      </w:tr>
      <w:tr w14:paraId="379C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12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排水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3A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495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0.0008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97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0.0004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F0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09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-0.0008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BA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-0.0016 </w:t>
            </w:r>
          </w:p>
        </w:tc>
      </w:tr>
      <w:tr w14:paraId="647B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51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人口密度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692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DB9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0.0007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71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0.0004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2E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CBC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-0.0007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828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-0.0014 </w:t>
            </w:r>
          </w:p>
        </w:tc>
      </w:tr>
      <w:tr w14:paraId="7F02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2D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宗地形状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B7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0.06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B3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0.0006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60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0.0003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AA3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FFC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-0.0006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FE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-0.0012 </w:t>
            </w:r>
          </w:p>
        </w:tc>
      </w:tr>
      <w:tr w14:paraId="3A52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B25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宗地面积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7C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0.06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A7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0.0006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57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0.0003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23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25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-0.0006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DD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-0.0012 </w:t>
            </w:r>
          </w:p>
        </w:tc>
      </w:tr>
      <w:tr w14:paraId="4B5F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95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宗地临街道路等级与通达性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A5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211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0.0007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590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0.0004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A4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B4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-0.0007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5C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-0.0014 </w:t>
            </w:r>
          </w:p>
        </w:tc>
      </w:tr>
      <w:tr w14:paraId="2C40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1D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临街宽度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82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0.06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AE0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0.0006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A19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0.0003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3A6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CE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-0.0006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39B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-0.0012 </w:t>
            </w:r>
          </w:p>
        </w:tc>
      </w:tr>
      <w:tr w14:paraId="2FEB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A29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临街深度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E0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0.06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A7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0.0006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F6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0.0003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861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69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-0.0006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98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-0.0012 </w:t>
            </w:r>
          </w:p>
        </w:tc>
      </w:tr>
      <w:tr w14:paraId="6B73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99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距商服中心距离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D2B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0.15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82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0.0015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79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0.0008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C4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BCD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-0.0015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07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-0.0030 </w:t>
            </w:r>
          </w:p>
        </w:tc>
      </w:tr>
      <w:tr w14:paraId="5390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pct"/>
          <w:trHeight w:val="312" w:hRule="atLeast"/>
          <w:jc w:val="center"/>
        </w:trPr>
        <w:tc>
          <w:tcPr>
            <w:tcW w:w="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94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距车站距离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28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0.09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66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0.0009 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29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0.0005 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EA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CC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-0.0009 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C2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-0.0018 </w:t>
            </w:r>
          </w:p>
        </w:tc>
      </w:tr>
    </w:tbl>
    <w:p w14:paraId="640F4E59">
      <w:pPr>
        <w:rPr>
          <w:rFonts w:hint="default" w:ascii="仿宋_GB2312" w:hAnsi="宋体" w:eastAsia="仿宋_GB2312"/>
          <w:b w:val="0"/>
          <w:bCs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宋体" w:eastAsia="仿宋_GB2312"/>
          <w:b w:val="0"/>
          <w:bCs/>
          <w:kern w:val="2"/>
          <w:sz w:val="28"/>
          <w:szCs w:val="28"/>
          <w:highlight w:val="none"/>
          <w:lang w:val="en-US" w:eastAsia="zh-CN"/>
        </w:rPr>
        <w:br w:type="page"/>
      </w:r>
    </w:p>
    <w:p w14:paraId="588229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2" w:leftChars="0" w:firstLine="0" w:firstLineChars="0"/>
        <w:textAlignment w:val="auto"/>
        <w:rPr>
          <w:rFonts w:hint="eastAsia" w:ascii="仿宋_GB2312" w:hAnsi="宋体" w:eastAsia="仿宋_GB2312"/>
          <w:b/>
          <w:sz w:val="24"/>
          <w:lang w:eastAsia="zh-CN"/>
        </w:rPr>
      </w:pPr>
      <w:r>
        <w:rPr>
          <w:rFonts w:hint="default" w:ascii="仿宋_GB2312" w:hAnsi="宋体" w:eastAsia="仿宋_GB2312"/>
          <w:b w:val="0"/>
          <w:bCs/>
          <w:kern w:val="2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仿宋_GB2312" w:hAnsi="宋体" w:eastAsia="仿宋_GB2312"/>
          <w:b w:val="0"/>
          <w:bCs/>
          <w:kern w:val="2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  <w:lang w:val="en-US" w:eastAsia="zh-CN"/>
        </w:rPr>
        <w:t>居住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</w:rPr>
        <w:t>用地地价影响因素指标说明表及修正系数表</w:t>
      </w:r>
    </w:p>
    <w:p w14:paraId="0DB69D8B">
      <w:pPr>
        <w:ind w:firstLine="0" w:firstLineChars="0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  <w:lang w:eastAsia="zh-CN"/>
        </w:rPr>
        <w:t>　　</w:t>
      </w:r>
      <w:r>
        <w:rPr>
          <w:rFonts w:hint="eastAsia" w:ascii="仿宋_GB2312" w:hAnsi="宋体" w:eastAsia="仿宋_GB2312"/>
          <w:b/>
          <w:sz w:val="24"/>
        </w:rPr>
        <w:t>表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3-5</w:t>
      </w:r>
      <w:r>
        <w:rPr>
          <w:rFonts w:hint="eastAsia" w:ascii="仿宋_GB2312" w:hAnsi="宋体" w:eastAsia="仿宋_GB2312"/>
          <w:b/>
          <w:sz w:val="24"/>
        </w:rPr>
        <w:t xml:space="preserve"> Ⅰ级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居住</w:t>
      </w:r>
      <w:r>
        <w:rPr>
          <w:rFonts w:hint="eastAsia" w:ascii="仿宋_GB2312" w:hAnsi="宋体" w:eastAsia="仿宋_GB2312"/>
          <w:b/>
          <w:sz w:val="24"/>
        </w:rPr>
        <w:t>用地地价区位因素及个别因素修正系数指标说明表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760"/>
        <w:gridCol w:w="1170"/>
        <w:gridCol w:w="1156"/>
        <w:gridCol w:w="1282"/>
        <w:gridCol w:w="1368"/>
        <w:gridCol w:w="1158"/>
      </w:tblGrid>
      <w:tr w14:paraId="374D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EF4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影响因素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09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优</w:t>
            </w:r>
          </w:p>
        </w:tc>
        <w:tc>
          <w:tcPr>
            <w:tcW w:w="6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F0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较优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E5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一般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77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较劣</w:t>
            </w: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C3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劣</w:t>
            </w:r>
          </w:p>
        </w:tc>
      </w:tr>
      <w:tr w14:paraId="11F3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10DC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</w:t>
            </w:r>
          </w:p>
          <w:p w14:paraId="6AA8D90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9E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距商服中心距离（米）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74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≤100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92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100—300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9D1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300—500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5A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500—700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EE3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700</w:t>
            </w:r>
          </w:p>
        </w:tc>
      </w:tr>
      <w:tr w14:paraId="22098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D0B5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A12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道路类型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2B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混合型主干道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59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生活型主干道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B21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生活型次干道或交通型主干道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C35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E9E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44C15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2D7B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829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交通便捷度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B0F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道路通达性好，交通便利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73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道路通达性较好，交通较便利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8A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道路通达性一般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89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03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4283A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D49E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53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296F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供水管道密集，设施完善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CF3D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供水管道较密集，设施较完善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1EFB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供水管道均匀，基本配套设施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89539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供水管道稀疏，有少数配套设施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1D5D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无集中供水</w:t>
            </w:r>
          </w:p>
        </w:tc>
      </w:tr>
      <w:tr w14:paraId="1869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9F2B4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FA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排水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F5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</w:rPr>
              <w:t>有雨排和污排且通畅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1A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</w:rPr>
              <w:t>有雨排和污排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基本</w:t>
            </w:r>
            <w:r>
              <w:rPr>
                <w:rFonts w:ascii="仿宋_GB2312" w:hAnsi="宋体" w:eastAsia="仿宋_GB2312" w:cs="宋体"/>
                <w:sz w:val="15"/>
                <w:szCs w:val="15"/>
              </w:rPr>
              <w:t>通畅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29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</w:rPr>
              <w:t>只有污排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DB4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</w:rPr>
              <w:t>只有雨排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AF8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无排水系统</w:t>
            </w:r>
          </w:p>
        </w:tc>
      </w:tr>
      <w:tr w14:paraId="3079B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75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04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人口密度（人/平方千米）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B1E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≥500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7E5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</w:rPr>
              <w:t>400-500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)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6A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</w:rPr>
              <w:t>300-400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)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62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</w:rPr>
              <w:t>200-300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)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739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</w:rPr>
              <w:t>＜200</w:t>
            </w:r>
          </w:p>
        </w:tc>
      </w:tr>
      <w:tr w14:paraId="0F48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54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个别因素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4E8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银行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80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≤300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B5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300—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B9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8AC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A6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微软雅黑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</w:p>
        </w:tc>
      </w:tr>
      <w:tr w14:paraId="5E9B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FD5B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992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B8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45A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CE9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(500—600]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02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700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628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微软雅黑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700</w:t>
            </w:r>
          </w:p>
        </w:tc>
      </w:tr>
      <w:tr w14:paraId="458AB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0BFB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D6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距医院距离（米）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64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4E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CC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76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CE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微软雅黑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</w:p>
        </w:tc>
      </w:tr>
      <w:tr w14:paraId="00DDF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15A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12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环境条件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63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环境优良，无污染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72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环境良好，基本无污染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354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环境一般，轻度污染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2C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环境较差，污染较重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02D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环境差，严重污染</w:t>
            </w:r>
          </w:p>
        </w:tc>
      </w:tr>
      <w:tr w14:paraId="65FD6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5D6D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D8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C6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面积适中，对土地利用有利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09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面积对土地利用较为有利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41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面积对土地利用无不良影响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868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面积较小，对土地利用有一定影响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4C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面积过小，对土地利用产生不利影响</w:t>
            </w:r>
          </w:p>
        </w:tc>
      </w:tr>
      <w:tr w14:paraId="14BBF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2B08D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3B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宗地面积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D1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宗地形状规则，利于土地利用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79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宗地形状较规则，较利于土地利用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DC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宗地形状一般，利于土地利用无影响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BE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宗地形状较不规则，对土地利用有一定影响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3C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宗地形状不规则，不利于土地利用</w:t>
            </w:r>
          </w:p>
        </w:tc>
      </w:tr>
    </w:tbl>
    <w:p w14:paraId="375CC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宋体" w:eastAsia="仿宋_GB2312"/>
          <w:b/>
          <w:sz w:val="24"/>
          <w:lang w:eastAsia="zh-CN"/>
        </w:rPr>
      </w:pPr>
      <w:r>
        <w:rPr>
          <w:rFonts w:hint="eastAsia" w:ascii="仿宋_GB2312" w:hAnsi="宋体" w:eastAsia="仿宋_GB2312"/>
          <w:b/>
          <w:sz w:val="24"/>
          <w:lang w:eastAsia="zh-CN"/>
        </w:rPr>
        <w:t>　　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65"/>
        <w:gridCol w:w="1200"/>
        <w:gridCol w:w="1316"/>
        <w:gridCol w:w="1200"/>
        <w:gridCol w:w="1200"/>
        <w:gridCol w:w="1208"/>
      </w:tblGrid>
      <w:tr w14:paraId="642B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3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3-6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Ⅰ级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居住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用地地价区位因素及个别因素修正系数表</w:t>
            </w:r>
          </w:p>
        </w:tc>
      </w:tr>
      <w:tr w14:paraId="6F9E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5BDC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因子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274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权重值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5B5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优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AA8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较优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525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8E0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较劣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27A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劣</w:t>
            </w:r>
          </w:p>
        </w:tc>
      </w:tr>
      <w:tr w14:paraId="1A26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A38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距商服中心距离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C15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BE1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0.0213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5F7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0.0107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A00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1F9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-0.0073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515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-0.0147 </w:t>
            </w:r>
          </w:p>
        </w:tc>
      </w:tr>
      <w:tr w14:paraId="6F40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C9D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道路类型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3A0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4BB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0.0178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E6D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0.0089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316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7FE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-0.0061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B06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-0.0122 </w:t>
            </w:r>
          </w:p>
        </w:tc>
      </w:tr>
      <w:tr w14:paraId="1449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52F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交通便捷度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420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63A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0.0178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EF9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0.0089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9BA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223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-0.0061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ABE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-0.0122 </w:t>
            </w:r>
          </w:p>
        </w:tc>
      </w:tr>
      <w:tr w14:paraId="29F4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2EF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供水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85F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923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63B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B6D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8DB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45D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-0.0098 </w:t>
            </w:r>
          </w:p>
        </w:tc>
      </w:tr>
      <w:tr w14:paraId="62B6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377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排水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8C5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BE5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EBB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710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357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B62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-0.0098 </w:t>
            </w:r>
          </w:p>
        </w:tc>
      </w:tr>
      <w:tr w14:paraId="45B2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AAF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人口密度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5E6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C3E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BBA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807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E9F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954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-0.0086 </w:t>
            </w:r>
          </w:p>
        </w:tc>
      </w:tr>
      <w:tr w14:paraId="29CC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CDE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距银行距离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DF2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BED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911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AFD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B0A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A07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-0.0086 </w:t>
            </w:r>
          </w:p>
        </w:tc>
      </w:tr>
      <w:tr w14:paraId="2CE9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C6A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距学校距离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4D8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7D8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B89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F6B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7C7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219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-0.0086 </w:t>
            </w:r>
          </w:p>
        </w:tc>
      </w:tr>
      <w:tr w14:paraId="4703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3A1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距医院距离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09B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7D5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BF1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5B8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C39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052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-0.0086 </w:t>
            </w:r>
          </w:p>
        </w:tc>
      </w:tr>
      <w:tr w14:paraId="7D0C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9E6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环境条件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3E1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ED6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79B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A0D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488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474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-0.0098 </w:t>
            </w:r>
          </w:p>
        </w:tc>
      </w:tr>
      <w:tr w14:paraId="67A6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F5C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宗地形状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C62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FE1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2CC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784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3F7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770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-0.0098 </w:t>
            </w:r>
          </w:p>
        </w:tc>
      </w:tr>
      <w:tr w14:paraId="6826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AFF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宗地面积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D0F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48C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FA5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9A8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355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FDC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-0.0098 </w:t>
            </w:r>
          </w:p>
        </w:tc>
      </w:tr>
    </w:tbl>
    <w:p w14:paraId="7C321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lang w:eastAsia="zh-CN"/>
        </w:rPr>
      </w:pPr>
      <w:r>
        <w:rPr>
          <w:rFonts w:hint="eastAsia" w:ascii="仿宋_GB2312" w:hAnsi="宋体" w:eastAsia="仿宋_GB2312"/>
          <w:b/>
          <w:sz w:val="24"/>
          <w:lang w:eastAsia="zh-CN"/>
        </w:rPr>
        <w:t>　　</w:t>
      </w:r>
    </w:p>
    <w:p w14:paraId="5826F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lang w:eastAsia="zh-CN"/>
        </w:rPr>
      </w:pPr>
    </w:p>
    <w:p w14:paraId="436DD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lang w:eastAsia="zh-CN"/>
        </w:rPr>
      </w:pPr>
    </w:p>
    <w:p w14:paraId="1016C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lang w:eastAsia="zh-CN"/>
        </w:rPr>
      </w:pPr>
    </w:p>
    <w:p w14:paraId="591F7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lang w:eastAsia="zh-CN"/>
        </w:rPr>
      </w:pPr>
    </w:p>
    <w:p w14:paraId="21BB0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lang w:eastAsia="zh-CN"/>
        </w:rPr>
      </w:pPr>
    </w:p>
    <w:p w14:paraId="44BBC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lang w:eastAsia="zh-CN"/>
        </w:rPr>
      </w:pPr>
    </w:p>
    <w:p w14:paraId="3DD1B6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表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3-7</w:t>
      </w:r>
      <w:r>
        <w:rPr>
          <w:rFonts w:hint="eastAsia" w:ascii="仿宋_GB2312" w:hAnsi="宋体" w:eastAsia="仿宋_GB2312"/>
          <w:b/>
          <w:sz w:val="24"/>
        </w:rPr>
        <w:t xml:space="preserve">  Ⅱ级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居住</w:t>
      </w:r>
      <w:r>
        <w:rPr>
          <w:rFonts w:hint="eastAsia" w:ascii="仿宋_GB2312" w:hAnsi="宋体" w:eastAsia="仿宋_GB2312"/>
          <w:b/>
          <w:sz w:val="24"/>
        </w:rPr>
        <w:t>用地地价区位因素及个别因素修正系数指标说明表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696"/>
        <w:gridCol w:w="1062"/>
        <w:gridCol w:w="41"/>
        <w:gridCol w:w="1127"/>
        <w:gridCol w:w="87"/>
        <w:gridCol w:w="1069"/>
        <w:gridCol w:w="147"/>
        <w:gridCol w:w="1135"/>
        <w:gridCol w:w="78"/>
        <w:gridCol w:w="1214"/>
        <w:gridCol w:w="75"/>
        <w:gridCol w:w="1166"/>
      </w:tblGrid>
      <w:tr w14:paraId="3618B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A4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影响因素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1B4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优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8D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较优</w:t>
            </w:r>
          </w:p>
        </w:tc>
        <w:tc>
          <w:tcPr>
            <w:tcW w:w="7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5B2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一般</w:t>
            </w:r>
          </w:p>
        </w:tc>
        <w:tc>
          <w:tcPr>
            <w:tcW w:w="8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0E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较劣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52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劣</w:t>
            </w:r>
          </w:p>
        </w:tc>
      </w:tr>
      <w:tr w14:paraId="516B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A2C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</w:t>
            </w:r>
          </w:p>
          <w:p w14:paraId="2629499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F64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距商服中心距离（米）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9B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BB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200-300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22E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300-400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DE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(400-500]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6F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</w:p>
        </w:tc>
      </w:tr>
      <w:tr w14:paraId="2EC20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D0CF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E6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道路类型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9B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混合型主干道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7C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生活型主干道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BA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生活型次干道或交通型主干道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1F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F34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772E5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9C36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4D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交通便捷度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F2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道路通达性好，交通便利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5B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道路通达性较好，交通较便利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E7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道路通达性一般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53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73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2B355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3088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640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3F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供水管道密集，设施完善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976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供水管道较密集，设施较完善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54B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供水管道均匀，基本配套设施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6FE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供水管道稀疏，有少数配套设施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42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无集中供水</w:t>
            </w:r>
          </w:p>
        </w:tc>
      </w:tr>
      <w:tr w14:paraId="28525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D92F8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A8C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排水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BE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有雨排和污排且通畅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69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有雨排和污排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基本通畅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1A9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只有污排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42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只有雨排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50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无排水系统</w:t>
            </w:r>
          </w:p>
        </w:tc>
      </w:tr>
      <w:tr w14:paraId="1054E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4AA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26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人口密度（人/平方千米）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318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≥500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63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[400-500)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92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[300-400)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B9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[200-300)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63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＜200</w:t>
            </w:r>
          </w:p>
        </w:tc>
      </w:tr>
      <w:tr w14:paraId="090F5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C4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个别因素</w:t>
            </w: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AA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银行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距离（米）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2DE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≤300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B41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300—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F76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C8C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6B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</w:p>
        </w:tc>
      </w:tr>
      <w:tr w14:paraId="7E49A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DBA9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6E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距离（米）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5E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≤500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05E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500—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C0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700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72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700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F8F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800</w:t>
            </w:r>
          </w:p>
        </w:tc>
      </w:tr>
      <w:tr w14:paraId="050C8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FB65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F4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距医院距离（米）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90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85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68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79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BDF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</w:p>
        </w:tc>
      </w:tr>
      <w:tr w14:paraId="48948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593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979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环境条件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57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环境优良，无污染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579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环境良好，基本无污染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F3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环境一般，轻度污染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17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环境较差，污染较重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DD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环境差，严重污染</w:t>
            </w:r>
          </w:p>
        </w:tc>
      </w:tr>
      <w:tr w14:paraId="574BC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2E73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A5B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69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面积适中，对土地利用有利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08F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面积对土地利用较为有利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2B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面积对土地利用无不良影响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034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面积较小，对土地利用有一定影响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CF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面积过小，对土地利用产生不利影响</w:t>
            </w:r>
          </w:p>
        </w:tc>
      </w:tr>
      <w:tr w14:paraId="484F7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204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DF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宗地面积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62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宗地形状规则，利于土地利用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C4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宗地形状较规则，较利于土地利用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74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宗地形状一般，利于土地利用无影响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DBA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宗地形状较不规则，对土地利用有一定影响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47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宗地形状不规则，不利于土地利用</w:t>
            </w:r>
          </w:p>
        </w:tc>
      </w:tr>
      <w:tr w14:paraId="133D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3-8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Ⅱ级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居住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用地地价区位因素及个别因素修正系数表</w:t>
            </w:r>
          </w:p>
        </w:tc>
      </w:tr>
      <w:tr w14:paraId="3965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ED61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因子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82E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权重值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D6A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优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B45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较优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0A0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5D6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较劣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573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劣</w:t>
            </w:r>
          </w:p>
        </w:tc>
      </w:tr>
      <w:tr w14:paraId="26EF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C6D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距商服中心距离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96A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0.12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A32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0.0240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1D1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0.0120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0C7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3FC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-0.0075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9AB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-0.0150 </w:t>
            </w:r>
          </w:p>
        </w:tc>
      </w:tr>
      <w:tr w14:paraId="3671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D7B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道路类型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0CD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7C5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0.0200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643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0.0100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9DE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2D7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-0.0063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B53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-0.0125 </w:t>
            </w:r>
          </w:p>
        </w:tc>
      </w:tr>
      <w:tr w14:paraId="43F8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5A0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交通便捷度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E73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192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0.0200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30B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0.0100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7EC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8F7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-0.0063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BA6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-0.0125 </w:t>
            </w:r>
          </w:p>
        </w:tc>
      </w:tr>
      <w:tr w14:paraId="4615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25E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供水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484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14A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0.0160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149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127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46F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-0.0050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3B7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-0.0100 </w:t>
            </w:r>
          </w:p>
        </w:tc>
      </w:tr>
      <w:tr w14:paraId="03AC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5DB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排水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A57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08D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0.0160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A7E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864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0DD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-0.0050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05E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-0.0100 </w:t>
            </w:r>
          </w:p>
        </w:tc>
      </w:tr>
      <w:tr w14:paraId="0AEC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283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人口密度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539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331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770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39A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A4C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-0.0044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27C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-0.0088 </w:t>
            </w:r>
          </w:p>
        </w:tc>
      </w:tr>
      <w:tr w14:paraId="1852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D36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距银行距离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A7C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C85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87A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FCA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F24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-0.0044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A1D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-0.0088 </w:t>
            </w:r>
          </w:p>
        </w:tc>
      </w:tr>
      <w:tr w14:paraId="24DB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874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距学校距离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CB2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B79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FFB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66B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765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-0.0044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CC3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-0.0088 </w:t>
            </w:r>
          </w:p>
        </w:tc>
      </w:tr>
      <w:tr w14:paraId="4096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481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距医院距离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483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909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A72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BC4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958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-0.0044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214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-0.0088 </w:t>
            </w:r>
          </w:p>
        </w:tc>
      </w:tr>
      <w:tr w14:paraId="3C77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FCE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环境条件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628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EDB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0.0160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401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D0D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E94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-0.0050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AF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-0.0100 </w:t>
            </w:r>
          </w:p>
        </w:tc>
      </w:tr>
      <w:tr w14:paraId="0003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FE6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宗地形状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849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B2F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0.0160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BB5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3C6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DE8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-0.0050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D29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-0.0100 </w:t>
            </w:r>
          </w:p>
        </w:tc>
      </w:tr>
      <w:tr w14:paraId="70FE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DC9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宗地面积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CD8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B84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0.0160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E32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584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36E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-0.0050 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663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-0.0100 </w:t>
            </w:r>
          </w:p>
        </w:tc>
      </w:tr>
    </w:tbl>
    <w:p w14:paraId="2D77D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firstLine="0" w:firstLineChars="0"/>
        <w:textAlignment w:val="auto"/>
        <w:rPr>
          <w:rFonts w:hint="eastAsia" w:ascii="仿宋_GB2312" w:hAnsi="宋体" w:eastAsia="仿宋_GB2312"/>
          <w:b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　　</w:t>
      </w:r>
    </w:p>
    <w:p w14:paraId="6EB57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firstLine="0" w:firstLineChars="0"/>
        <w:textAlignment w:val="auto"/>
        <w:rPr>
          <w:rFonts w:hint="eastAsia" w:ascii="仿宋_GB2312" w:hAnsi="宋体" w:eastAsia="仿宋_GB2312"/>
          <w:b/>
          <w:sz w:val="28"/>
          <w:szCs w:val="28"/>
          <w:lang w:eastAsia="zh-CN"/>
        </w:rPr>
      </w:pPr>
    </w:p>
    <w:p w14:paraId="4E625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firstLine="0" w:firstLineChars="0"/>
        <w:textAlignment w:val="auto"/>
        <w:rPr>
          <w:rFonts w:hint="eastAsia" w:ascii="仿宋_GB2312" w:hAnsi="宋体" w:eastAsia="仿宋_GB2312"/>
          <w:b/>
          <w:sz w:val="28"/>
          <w:szCs w:val="28"/>
          <w:lang w:eastAsia="zh-CN"/>
        </w:rPr>
      </w:pPr>
    </w:p>
    <w:p w14:paraId="21782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firstLine="0" w:firstLineChars="0"/>
        <w:textAlignment w:val="auto"/>
        <w:rPr>
          <w:rFonts w:hint="eastAsia" w:ascii="仿宋_GB2312" w:hAnsi="宋体" w:eastAsia="仿宋_GB2312"/>
          <w:b/>
          <w:sz w:val="28"/>
          <w:szCs w:val="28"/>
          <w:lang w:eastAsia="zh-CN"/>
        </w:rPr>
      </w:pPr>
    </w:p>
    <w:p w14:paraId="1D4B1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firstLine="0" w:firstLineChars="0"/>
        <w:textAlignment w:val="auto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>（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）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</w:rPr>
        <w:t>工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lang w:val="en-US" w:eastAsia="zh-CN"/>
        </w:rPr>
        <w:t>矿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</w:rPr>
        <w:t>用地地价影响因素指标说明表及修正系数表</w:t>
      </w:r>
    </w:p>
    <w:p w14:paraId="71117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b/>
          <w:sz w:val="24"/>
          <w:lang w:eastAsia="zh-CN"/>
        </w:rPr>
        <w:t>　　</w:t>
      </w:r>
      <w:r>
        <w:rPr>
          <w:rFonts w:hint="eastAsia" w:ascii="仿宋_GB2312" w:hAnsi="宋体" w:eastAsia="仿宋_GB2312"/>
          <w:b/>
          <w:sz w:val="24"/>
        </w:rPr>
        <w:t>表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3-9</w:t>
      </w:r>
      <w:r>
        <w:rPr>
          <w:rFonts w:hint="eastAsia" w:ascii="仿宋_GB2312" w:hAnsi="宋体" w:eastAsia="仿宋_GB2312"/>
          <w:b/>
          <w:sz w:val="24"/>
        </w:rPr>
        <w:t xml:space="preserve">   Ⅰ级工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矿</w:t>
      </w:r>
      <w:r>
        <w:rPr>
          <w:rFonts w:hint="eastAsia" w:ascii="仿宋_GB2312" w:hAnsi="宋体" w:eastAsia="仿宋_GB2312"/>
          <w:b/>
          <w:sz w:val="24"/>
        </w:rPr>
        <w:t>用地地价区位因素及个别因素修正系数指标说明表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20"/>
        <w:gridCol w:w="1162"/>
        <w:gridCol w:w="37"/>
        <w:gridCol w:w="1200"/>
        <w:gridCol w:w="143"/>
        <w:gridCol w:w="1173"/>
        <w:gridCol w:w="22"/>
        <w:gridCol w:w="1178"/>
        <w:gridCol w:w="17"/>
        <w:gridCol w:w="1183"/>
        <w:gridCol w:w="12"/>
        <w:gridCol w:w="1198"/>
      </w:tblGrid>
      <w:tr w14:paraId="44719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BE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影响因素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BBD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优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AC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较优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D08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一般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DCF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较劣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947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劣</w:t>
            </w:r>
          </w:p>
        </w:tc>
      </w:tr>
      <w:tr w14:paraId="4767D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EF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</w:t>
            </w:r>
          </w:p>
          <w:p w14:paraId="4CF7BD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B6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道路通达度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20B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区域内有主、次干道通过，道路通达度好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31D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区域内有主干道通过，道路通达度较好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3D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区域内有次干道通过，道路通达性一般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7E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区域内有支路通过，道路通达性较差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925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区域内以巷道为主，道路通达性差</w:t>
            </w:r>
          </w:p>
        </w:tc>
      </w:tr>
      <w:tr w14:paraId="7AFB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98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66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交通便捷度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4E4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道路通达性好，交通便利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8A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道路通达性较好，交通较便利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32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道路通达性一般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1A8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AC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2288A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BA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269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C0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供水管道密集，设施完善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53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供水管道较密集，设施较完善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17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供水管道均匀，基本配套设施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694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供水管道稀疏，有少数配套设施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4A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无集中供水</w:t>
            </w:r>
          </w:p>
        </w:tc>
      </w:tr>
      <w:tr w14:paraId="4F6F2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29F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BA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产业集聚度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02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周围集聚大型工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，形成工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园区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7C6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周围工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分布较多，且有一定规模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66C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周围有工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分布，属于一般产业区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9DB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分布较分散，且距离较远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0A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区域内无工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企业分布</w:t>
            </w:r>
          </w:p>
        </w:tc>
      </w:tr>
      <w:tr w14:paraId="3FB2A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CB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个别</w:t>
            </w:r>
          </w:p>
          <w:p w14:paraId="654987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AF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6B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形状规则极有利于土地利用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AE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形状规则对土地利用较有利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A3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形状不规则，对土地利用无不良影响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BD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形状不规则，对土地利用有一定影响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5BA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形状极不规则，对土地利用影响严重</w:t>
            </w:r>
          </w:p>
        </w:tc>
      </w:tr>
      <w:tr w14:paraId="155A1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94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00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宗地面积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A4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面积符合土地利用类型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F8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面积适中，较符合土地利用类型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E2C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面积偏大或偏小，对土地利用无不良影响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AC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面积偏大或偏小，对土地利用有一定影响</w:t>
            </w:r>
          </w:p>
        </w:tc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DB5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面积过大或过小，不符合土地利用类型</w:t>
            </w:r>
          </w:p>
        </w:tc>
      </w:tr>
      <w:tr w14:paraId="6C09C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E6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781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工程地质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CD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地质承载力强，利于建设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7E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地质承载力较强，利于建设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D7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无不良地质现象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DA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有不良地质状况，但无需特殊处理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E1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有不良地质状况,并需特殊处理</w:t>
            </w:r>
          </w:p>
        </w:tc>
      </w:tr>
      <w:tr w14:paraId="48C7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C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 xml:space="preserve">3-10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Ⅰ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级工矿用地地价区位因素及个别因素修正系数表</w:t>
            </w:r>
          </w:p>
        </w:tc>
      </w:tr>
      <w:tr w14:paraId="3A68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ED13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因子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382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权重值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AC8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优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672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较优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A2F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E2D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较劣</w:t>
            </w:r>
          </w:p>
        </w:tc>
        <w:tc>
          <w:tcPr>
            <w:tcW w:w="7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78E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劣</w:t>
            </w:r>
          </w:p>
        </w:tc>
      </w:tr>
      <w:tr w14:paraId="09F1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E79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道路通达度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3D37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3BB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0.0137 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D88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0.0069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804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73B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-0.0137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F3B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-0.0274 </w:t>
            </w:r>
          </w:p>
        </w:tc>
      </w:tr>
      <w:tr w14:paraId="5F6D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EDB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交通便捷度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C0391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0E2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0.0103 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CC0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0.0051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81E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558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-0.0103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C1B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-0.0206 </w:t>
            </w:r>
          </w:p>
        </w:tc>
      </w:tr>
      <w:tr w14:paraId="71F3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553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供水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CFC4F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FA5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0.0151 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BAA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0.0075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B0A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B80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-0.0151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EEC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-0.0301 </w:t>
            </w:r>
          </w:p>
        </w:tc>
      </w:tr>
      <w:tr w14:paraId="007A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298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产业集聚度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54641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1AF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0.0103 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E67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0.0051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379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9B6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-0.0103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43C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-0.0206 </w:t>
            </w:r>
          </w:p>
        </w:tc>
      </w:tr>
      <w:tr w14:paraId="000E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6D5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宗地形状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610D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640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0.0069 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05C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0.0034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FDB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BBF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-0.0069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C1C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-0.0137 </w:t>
            </w:r>
          </w:p>
        </w:tc>
      </w:tr>
      <w:tr w14:paraId="695F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F66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宗地面积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D99F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148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0.0069 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4A0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0.0034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36C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C5A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-0.0069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F68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-0.0137 </w:t>
            </w:r>
          </w:p>
        </w:tc>
      </w:tr>
      <w:tr w14:paraId="4BF5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E7E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工程地质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ABEB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C7D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0.0055 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DE3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0.0027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EFD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543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-0.0055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CFC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-0.0110 </w:t>
            </w:r>
          </w:p>
        </w:tc>
      </w:tr>
    </w:tbl>
    <w:p w14:paraId="1B04E321">
      <w:pPr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br w:type="page"/>
      </w:r>
    </w:p>
    <w:p w14:paraId="776D9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b/>
          <w:sz w:val="24"/>
        </w:rPr>
        <w:t>表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3-11</w:t>
      </w:r>
      <w:r>
        <w:rPr>
          <w:rFonts w:hint="eastAsia" w:ascii="仿宋_GB2312" w:hAnsi="宋体" w:eastAsia="仿宋_GB2312"/>
          <w:b/>
          <w:sz w:val="24"/>
        </w:rPr>
        <w:t xml:space="preserve">   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Ⅱ</w:t>
      </w:r>
      <w:r>
        <w:rPr>
          <w:rFonts w:hint="eastAsia" w:ascii="仿宋_GB2312" w:hAnsi="宋体" w:eastAsia="仿宋_GB2312"/>
          <w:b/>
          <w:sz w:val="24"/>
        </w:rPr>
        <w:t>级工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矿</w:t>
      </w:r>
      <w:r>
        <w:rPr>
          <w:rFonts w:hint="eastAsia" w:ascii="仿宋_GB2312" w:hAnsi="宋体" w:eastAsia="仿宋_GB2312"/>
          <w:b/>
          <w:sz w:val="24"/>
        </w:rPr>
        <w:t>用地地价区位因素及个别因素修正系数指标说明表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518"/>
        <w:gridCol w:w="1162"/>
        <w:gridCol w:w="37"/>
        <w:gridCol w:w="1200"/>
        <w:gridCol w:w="143"/>
        <w:gridCol w:w="1173"/>
        <w:gridCol w:w="22"/>
        <w:gridCol w:w="1178"/>
        <w:gridCol w:w="17"/>
        <w:gridCol w:w="1183"/>
        <w:gridCol w:w="12"/>
        <w:gridCol w:w="1199"/>
      </w:tblGrid>
      <w:tr w14:paraId="2157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1A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影响因素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45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优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713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较优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01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一般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C1B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较劣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FC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劣</w:t>
            </w:r>
          </w:p>
        </w:tc>
      </w:tr>
      <w:tr w14:paraId="5848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BD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</w:t>
            </w:r>
          </w:p>
          <w:p w14:paraId="3DBFA4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11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道路通达度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750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区域内有主、次干道通过，道路通达度好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AD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区域内有主干道通过，道路通达度较好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BD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区域内有次干道通过，道路通达性一般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885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区域内有支路通过，道路通达性较差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43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区域内以巷道为主，道路通达性差</w:t>
            </w:r>
          </w:p>
        </w:tc>
      </w:tr>
      <w:tr w14:paraId="6AA6D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26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2B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交通便捷度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7E3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道路通达性好，交通便利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87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道路通达性较好，交通较便利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71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道路通达性一般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D9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C7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28C6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D6E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44A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8B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供水管道密集，设施完善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88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供水管道较密集，设施较完善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D8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供水管道均匀，基本配套设施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F99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供水管道稀疏，有少数配套设施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6B5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无集中供水</w:t>
            </w:r>
          </w:p>
        </w:tc>
      </w:tr>
      <w:tr w14:paraId="5B222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6C9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20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产业集聚度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73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周围集聚大型工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，形成工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园区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539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周围工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分布较多，且有一定规模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4F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周围有工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分布，属于一般产业区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3A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分布较分散，且距离较远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73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区域内无工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矿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企业分布</w:t>
            </w:r>
          </w:p>
        </w:tc>
      </w:tr>
      <w:tr w14:paraId="3AA7C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3D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个别</w:t>
            </w:r>
          </w:p>
          <w:p w14:paraId="0065D14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AE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E4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形状规则极有利于土地利用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04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形状规则对土地利用较有利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F04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形状不规则，对土地利用无不良影响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F7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形状不规则，对土地利用有一定影响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957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形状极不规则，对土地利用影响严重</w:t>
            </w:r>
          </w:p>
        </w:tc>
      </w:tr>
      <w:tr w14:paraId="1B9B1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1D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E8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宗地面积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7B4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面积符合土地利用类型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F98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面积适中，较符合土地利用类型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BA4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面积偏大或偏小，对土地利用无不良影响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7C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面积偏大或偏小，对土地利用有一定影响</w:t>
            </w:r>
          </w:p>
        </w:tc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BC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面积过大或过小，不符合土地利用类型</w:t>
            </w:r>
          </w:p>
        </w:tc>
      </w:tr>
      <w:tr w14:paraId="5E23C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BE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00B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工程地质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A6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地质承载力强，利于建设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74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地质承载力较强，利于建设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A63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无不良地质现象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88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有不良地质状况，但无需特殊处理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18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有不良地质状况,并需特殊处理</w:t>
            </w:r>
          </w:p>
        </w:tc>
      </w:tr>
      <w:tr w14:paraId="4A57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9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3-12   Ⅱ级工矿用地地价区位因素及个别因素修正系数表</w:t>
            </w:r>
          </w:p>
        </w:tc>
      </w:tr>
      <w:tr w14:paraId="0532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7647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因子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6C5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权重值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2A9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优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7B0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较优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AEC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050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较劣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4AF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劣</w:t>
            </w:r>
          </w:p>
        </w:tc>
      </w:tr>
      <w:tr w14:paraId="75B3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140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道路通达度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6EAC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5E4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0.0400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A7F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0.0200 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AF1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A8D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-0.0031 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F5A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-0.0062 </w:t>
            </w:r>
          </w:p>
        </w:tc>
      </w:tr>
      <w:tr w14:paraId="78B1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245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交通便捷度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D5B7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0.15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D7F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0.0300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8E8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0.0150 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353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9C9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-0.0023 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546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-0.0046 </w:t>
            </w:r>
          </w:p>
        </w:tc>
      </w:tr>
      <w:tr w14:paraId="3860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B25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供水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1EFCD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DA0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0.0440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8A5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0.0220 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0C7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890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-0.0034 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E31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-0.0068 </w:t>
            </w:r>
          </w:p>
        </w:tc>
      </w:tr>
      <w:tr w14:paraId="30A0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10D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产业集聚度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7FE0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0.15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F9B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0.0300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B33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0.0150 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0A0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7FC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-0.0023 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009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-0.0046 </w:t>
            </w:r>
          </w:p>
        </w:tc>
      </w:tr>
      <w:tr w14:paraId="0930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FAA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宗地形状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F8C9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F68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0.0200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398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0.0100 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B5A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3D3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-0.0015 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6F9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-0.0031 </w:t>
            </w:r>
          </w:p>
        </w:tc>
      </w:tr>
      <w:tr w14:paraId="1B94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D6D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宗地面积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72F49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A96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0.0200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D7F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0.0100 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86B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E32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-0.0015 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7CB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-0.0031 </w:t>
            </w:r>
          </w:p>
        </w:tc>
      </w:tr>
      <w:tr w14:paraId="7453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314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工程地质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847D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85F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0.0160 </w:t>
            </w:r>
          </w:p>
        </w:tc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08A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3ED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E9A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-0.0012 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3EE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-0.0025 </w:t>
            </w:r>
          </w:p>
        </w:tc>
      </w:tr>
    </w:tbl>
    <w:p w14:paraId="1581F0C8">
      <w:pP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br w:type="page"/>
      </w:r>
    </w:p>
    <w:p w14:paraId="619BC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firstLine="560" w:firstLineChars="200"/>
        <w:textAlignment w:val="auto"/>
        <w:rPr>
          <w:rFonts w:hint="eastAsia" w:ascii="仿宋_GB2312" w:hAnsi="宋体" w:eastAsia="仿宋_GB2312"/>
          <w:b w:val="0"/>
          <w:bCs/>
          <w:kern w:val="2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（4）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lang w:val="en-US" w:eastAsia="zh-CN"/>
        </w:rPr>
        <w:t>公共管理与公共服务用地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</w:rPr>
        <w:t>地价影响因素指标说明表及修正系数表</w:t>
      </w:r>
    </w:p>
    <w:p w14:paraId="3484876E">
      <w:pPr>
        <w:spacing w:line="240" w:lineRule="auto"/>
        <w:ind w:firstLine="0" w:firstLineChars="0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表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3-13</w:t>
      </w:r>
      <w:r>
        <w:rPr>
          <w:rFonts w:hint="eastAsia" w:ascii="仿宋_GB2312" w:hAnsi="宋体" w:eastAsia="仿宋_GB2312"/>
          <w:b/>
          <w:sz w:val="24"/>
        </w:rPr>
        <w:t xml:space="preserve"> Ⅰ级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公共管理与公共服务用地</w:t>
      </w:r>
      <w:r>
        <w:rPr>
          <w:rFonts w:hint="eastAsia" w:ascii="仿宋_GB2312" w:hAnsi="宋体" w:eastAsia="仿宋_GB2312"/>
          <w:b/>
          <w:sz w:val="24"/>
        </w:rPr>
        <w:t>区位因素及个别因素修正系数指标说明表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760"/>
        <w:gridCol w:w="1170"/>
        <w:gridCol w:w="1156"/>
        <w:gridCol w:w="1282"/>
        <w:gridCol w:w="1368"/>
        <w:gridCol w:w="1158"/>
      </w:tblGrid>
      <w:tr w14:paraId="7B348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BC3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影响因素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E8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优</w:t>
            </w:r>
          </w:p>
        </w:tc>
        <w:tc>
          <w:tcPr>
            <w:tcW w:w="6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9D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较优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FD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一般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CE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较劣</w:t>
            </w: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CB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劣</w:t>
            </w:r>
          </w:p>
        </w:tc>
      </w:tr>
      <w:tr w14:paraId="6D8F2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20FCC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</w:t>
            </w:r>
          </w:p>
          <w:p w14:paraId="1392BD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DC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距商服中心距离（米）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24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≤100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97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100—300]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38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300—500]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40E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500—700]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FE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700</w:t>
            </w:r>
          </w:p>
        </w:tc>
      </w:tr>
      <w:tr w14:paraId="1D0B5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692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B73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道路类型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62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混合型主干道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86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生活型主干道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0C4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生活型次干道或交通型主干道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417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35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476E6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3EA7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B1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交通便捷度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A2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道路通达性好，交通便利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B0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道路通达性较好，交通较便利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D13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道路通达性一般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BA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78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0C355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A32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ED3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1E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供水管道密集，设施完善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35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供水管道较密集，设施较完善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59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供水管道均匀，基本配套设施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11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供水管道稀疏，有少数配套设施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18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无集中供水</w:t>
            </w:r>
          </w:p>
        </w:tc>
      </w:tr>
      <w:tr w14:paraId="08B88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E11C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E56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排水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65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有雨排和污排且通畅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C7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有雨排和污排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基本通畅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8B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只有污排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DF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只有雨排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92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无排水系统</w:t>
            </w:r>
          </w:p>
        </w:tc>
      </w:tr>
      <w:tr w14:paraId="4714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67C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5F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人口密度（人/平方千米）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1E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≥500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26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[400-500)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D9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[300-400)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BF3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[200-300)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BB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＜200</w:t>
            </w:r>
          </w:p>
        </w:tc>
      </w:tr>
      <w:tr w14:paraId="2DB2B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33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个别因素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5B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银行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BA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≤300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05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300—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F7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6B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35B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</w:p>
        </w:tc>
      </w:tr>
      <w:tr w14:paraId="696D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C3F5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61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6D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198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C7B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(500—600]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714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700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61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700</w:t>
            </w:r>
          </w:p>
        </w:tc>
      </w:tr>
      <w:tr w14:paraId="597D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D07FE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FA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距医院距离（米）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5E0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D0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8F0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C9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7F4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</w:p>
        </w:tc>
      </w:tr>
      <w:tr w14:paraId="147B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6F06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86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环境条件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DE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环境优良，无污染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610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环境良好，基本无污染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F2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环境一般，轻度污染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294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环境较差，污染较重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3D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环境差，严重污染</w:t>
            </w:r>
          </w:p>
        </w:tc>
      </w:tr>
      <w:tr w14:paraId="0BB22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A201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C41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D62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面积适中，对土地利用有利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65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面积对土地利用较为有利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F89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面积对土地利用无不良影响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B9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面积较小，对土地利用有一定影响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06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面积过小，对土地利用产生不利影响</w:t>
            </w:r>
          </w:p>
        </w:tc>
      </w:tr>
      <w:tr w14:paraId="2663D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677D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458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宗地面积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E2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宗地形状规则，利于土地利用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A9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宗地形状较规则，较利于土地利用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0D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宗地形状一般，利于土地利用无影响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1B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宗地形状较不规则，对土地利用有一定影响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CE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宗地形状不规则，不利于土地利用</w:t>
            </w:r>
          </w:p>
        </w:tc>
      </w:tr>
    </w:tbl>
    <w:p w14:paraId="33D3EDAC">
      <w:pPr>
        <w:ind w:left="0" w:leftChars="0" w:firstLine="0" w:firstLineChars="0"/>
        <w:rPr>
          <w:rFonts w:hint="eastAsia" w:ascii="仿宋_GB2312" w:hAnsi="宋体" w:eastAsia="仿宋_GB2312"/>
          <w:b/>
          <w:sz w:val="24"/>
          <w:lang w:eastAsia="zh-CN"/>
        </w:rPr>
      </w:pPr>
      <w:r>
        <w:rPr>
          <w:rFonts w:hint="eastAsia" w:ascii="仿宋_GB2312" w:hAnsi="宋体" w:eastAsia="仿宋_GB2312"/>
          <w:b/>
          <w:sz w:val="24"/>
          <w:lang w:eastAsia="zh-CN"/>
        </w:rPr>
        <w:t>　　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058"/>
        <w:gridCol w:w="1200"/>
        <w:gridCol w:w="1316"/>
        <w:gridCol w:w="1200"/>
        <w:gridCol w:w="1200"/>
        <w:gridCol w:w="1210"/>
      </w:tblGrid>
      <w:tr w14:paraId="7BB8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3-14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Ⅰ级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公共管理与公共服务用地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区位因素及个别因素修正系数表</w:t>
            </w:r>
          </w:p>
        </w:tc>
      </w:tr>
      <w:tr w14:paraId="18EC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014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因子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B75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权重值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7F9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优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270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较优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CE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C84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较劣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7BF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劣</w:t>
            </w:r>
          </w:p>
        </w:tc>
      </w:tr>
      <w:tr w14:paraId="2EC5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246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距商服中心距离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C50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9D6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0.0213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6ED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0.0107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3B5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5D3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-0.0073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21F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-0.0147 </w:t>
            </w:r>
          </w:p>
        </w:tc>
      </w:tr>
      <w:tr w14:paraId="0451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5FD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道路类型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FFF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F1A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0.0178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76F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0.0089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0F6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CDA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-0.0061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376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-0.0122 </w:t>
            </w:r>
          </w:p>
        </w:tc>
      </w:tr>
      <w:tr w14:paraId="2C15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B8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交通便捷度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1E6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7F7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0.0178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A49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0.0089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835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FDE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-0.0061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51C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-0.0122 </w:t>
            </w:r>
          </w:p>
        </w:tc>
      </w:tr>
      <w:tr w14:paraId="2038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058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供水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E91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FCA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135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6D0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985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F1C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-0.0098 </w:t>
            </w:r>
          </w:p>
        </w:tc>
      </w:tr>
      <w:tr w14:paraId="389A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3E3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排水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02F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A59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486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25F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68A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500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-0.0098 </w:t>
            </w:r>
          </w:p>
        </w:tc>
      </w:tr>
      <w:tr w14:paraId="5110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E98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人口密度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3FA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5BF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B8D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F4E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D49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A78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-0.0086 </w:t>
            </w:r>
          </w:p>
        </w:tc>
      </w:tr>
      <w:tr w14:paraId="392F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13D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距银行距离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A4A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CAD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2F6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E08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F3E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E31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-0.0086 </w:t>
            </w:r>
          </w:p>
        </w:tc>
      </w:tr>
      <w:tr w14:paraId="3211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08A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距学校距离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B22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D1B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252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085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C3B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641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-0.0086 </w:t>
            </w:r>
          </w:p>
        </w:tc>
      </w:tr>
      <w:tr w14:paraId="528B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38C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距医院距离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622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52E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6AE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BF9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04A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098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-0.0086 </w:t>
            </w:r>
          </w:p>
        </w:tc>
      </w:tr>
      <w:tr w14:paraId="1CA3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55B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环境条件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4CA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62B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80D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8D2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92E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546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-0.0098 </w:t>
            </w:r>
          </w:p>
        </w:tc>
      </w:tr>
      <w:tr w14:paraId="6E9A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19F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宗地形状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317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735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7AB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5BA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BF1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913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-0.0098 </w:t>
            </w:r>
          </w:p>
        </w:tc>
      </w:tr>
      <w:tr w14:paraId="32AA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FFC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宗地面积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BE6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52C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1AD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C1F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D5C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193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-0.0098 </w:t>
            </w:r>
          </w:p>
        </w:tc>
      </w:tr>
    </w:tbl>
    <w:p w14:paraId="333F501A">
      <w:pPr>
        <w:rPr>
          <w:rFonts w:hint="eastAsia" w:ascii="仿宋_GB2312" w:hAnsi="宋体" w:eastAsia="仿宋_GB2312"/>
          <w:b/>
          <w:sz w:val="22"/>
          <w:szCs w:val="22"/>
        </w:rPr>
      </w:pPr>
      <w:r>
        <w:rPr>
          <w:rFonts w:hint="eastAsia" w:ascii="仿宋_GB2312" w:hAnsi="宋体" w:eastAsia="仿宋_GB2312"/>
          <w:b/>
          <w:sz w:val="22"/>
          <w:szCs w:val="22"/>
        </w:rPr>
        <w:br w:type="page"/>
      </w:r>
    </w:p>
    <w:p w14:paraId="5D76E7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jc w:val="center"/>
        <w:textAlignment w:val="auto"/>
        <w:rPr>
          <w:rFonts w:hint="eastAsia" w:ascii="仿宋_GB2312" w:hAnsi="宋体" w:eastAsia="仿宋_GB2312"/>
          <w:b w:val="0"/>
          <w:bCs/>
          <w:kern w:val="2"/>
          <w:sz w:val="22"/>
          <w:szCs w:val="22"/>
        </w:rPr>
      </w:pPr>
      <w:r>
        <w:rPr>
          <w:rFonts w:hint="eastAsia" w:ascii="仿宋_GB2312" w:hAnsi="宋体" w:eastAsia="仿宋_GB2312"/>
          <w:b/>
          <w:sz w:val="22"/>
          <w:szCs w:val="22"/>
        </w:rPr>
        <w:t>表</w:t>
      </w:r>
      <w:r>
        <w:rPr>
          <w:rFonts w:hint="eastAsia" w:ascii="仿宋_GB2312" w:hAnsi="宋体" w:eastAsia="仿宋_GB2312"/>
          <w:b/>
          <w:sz w:val="22"/>
          <w:szCs w:val="22"/>
          <w:lang w:val="en-US" w:eastAsia="zh-CN"/>
        </w:rPr>
        <w:t>3-15</w:t>
      </w:r>
      <w:r>
        <w:rPr>
          <w:rFonts w:hint="eastAsia" w:ascii="仿宋_GB2312" w:hAnsi="宋体" w:eastAsia="仿宋_GB2312"/>
          <w:b/>
          <w:sz w:val="22"/>
          <w:szCs w:val="22"/>
        </w:rPr>
        <w:t xml:space="preserve"> </w:t>
      </w:r>
      <w:r>
        <w:rPr>
          <w:rFonts w:hint="eastAsia" w:ascii="仿宋_GB2312" w:hAnsi="宋体" w:eastAsia="仿宋_GB2312"/>
          <w:b/>
          <w:sz w:val="22"/>
          <w:szCs w:val="22"/>
          <w:highlight w:val="none"/>
          <w:lang w:val="en-US" w:eastAsia="zh-CN"/>
        </w:rPr>
        <w:t>Ⅱ</w:t>
      </w:r>
      <w:r>
        <w:rPr>
          <w:rFonts w:hint="eastAsia" w:ascii="仿宋_GB2312" w:hAnsi="宋体" w:eastAsia="仿宋_GB2312"/>
          <w:b/>
          <w:sz w:val="22"/>
          <w:szCs w:val="22"/>
        </w:rPr>
        <w:t>级</w:t>
      </w:r>
      <w:r>
        <w:rPr>
          <w:rFonts w:hint="eastAsia" w:ascii="仿宋_GB2312" w:hAnsi="宋体" w:eastAsia="仿宋_GB2312"/>
          <w:b/>
          <w:sz w:val="22"/>
          <w:szCs w:val="22"/>
          <w:lang w:val="en-US" w:eastAsia="zh-CN"/>
        </w:rPr>
        <w:t>公共管理与公共服务用地</w:t>
      </w:r>
      <w:r>
        <w:rPr>
          <w:rFonts w:hint="eastAsia" w:ascii="仿宋_GB2312" w:hAnsi="宋体" w:eastAsia="仿宋_GB2312"/>
          <w:b/>
          <w:sz w:val="22"/>
          <w:szCs w:val="22"/>
        </w:rPr>
        <w:t>区位因素及个别因素修正系数指标说明表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80"/>
        <w:gridCol w:w="1176"/>
        <w:gridCol w:w="31"/>
        <w:gridCol w:w="1139"/>
        <w:gridCol w:w="75"/>
        <w:gridCol w:w="1081"/>
        <w:gridCol w:w="133"/>
        <w:gridCol w:w="1149"/>
        <w:gridCol w:w="65"/>
        <w:gridCol w:w="1215"/>
        <w:gridCol w:w="87"/>
        <w:gridCol w:w="1166"/>
      </w:tblGrid>
      <w:tr w14:paraId="33F9B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3B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影响因素</w:t>
            </w:r>
          </w:p>
        </w:tc>
        <w:tc>
          <w:tcPr>
            <w:tcW w:w="6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A8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优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603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较优</w:t>
            </w:r>
          </w:p>
        </w:tc>
        <w:tc>
          <w:tcPr>
            <w:tcW w:w="7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CB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一般</w:t>
            </w:r>
          </w:p>
        </w:tc>
        <w:tc>
          <w:tcPr>
            <w:tcW w:w="8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C1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较劣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62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劣</w:t>
            </w:r>
          </w:p>
        </w:tc>
      </w:tr>
      <w:tr w14:paraId="0694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9CC3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</w:t>
            </w:r>
          </w:p>
          <w:p w14:paraId="3B40E9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7A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距商服中心距离（米）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2F2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00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200-300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42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300-400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F7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(400-500]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39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</w:p>
        </w:tc>
      </w:tr>
      <w:tr w14:paraId="2870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DED1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AA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道路类型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2B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混合型主干道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7A3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生活型主干道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63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生活型次干道或交通型主干道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56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EA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08D66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91F1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DEA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交通便捷度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6E2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道路通达性好，交通便利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27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道路通达性较好，交通较便利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A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道路通达性一般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D7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3C5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4BDB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6E77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3D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BEA3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供水管道密集，设施完善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A8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供水管道较密集，设施较完善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24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供水管道均匀，基本配套设施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C9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供水管道稀疏，有少数配套设施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94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无集中供水</w:t>
            </w:r>
          </w:p>
        </w:tc>
      </w:tr>
      <w:tr w14:paraId="6E756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08363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F15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排水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E10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有雨排和污排且通畅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38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有雨排和污排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基本通畅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E6D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只有污排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5A6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只有雨排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CB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无排水系统</w:t>
            </w:r>
          </w:p>
        </w:tc>
      </w:tr>
      <w:tr w14:paraId="5341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25E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86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人口密度（人/平方千米）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9D5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≥500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665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[400-500)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6C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[300-400)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D4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[200-300)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2C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＜200</w:t>
            </w:r>
          </w:p>
        </w:tc>
      </w:tr>
      <w:tr w14:paraId="51CB6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9D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个别因素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24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银行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距离（米）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4A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≤300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D5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300—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30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26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6B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</w:p>
        </w:tc>
      </w:tr>
      <w:tr w14:paraId="4B5C5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171E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CF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距离（米）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27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≤500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2B8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500—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3A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700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C0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700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C0D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800</w:t>
            </w:r>
          </w:p>
        </w:tc>
      </w:tr>
      <w:tr w14:paraId="76E07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23D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79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距医院距离（米）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6F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≤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47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85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842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]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DF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500</w:t>
            </w:r>
          </w:p>
        </w:tc>
      </w:tr>
      <w:tr w14:paraId="561D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589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1B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环境条件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85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环境优良，无污染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CA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环境良好，基本无污染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892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环境一般，轻度污染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A1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环境较差，污染较重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AA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环境差，严重污染</w:t>
            </w:r>
          </w:p>
        </w:tc>
      </w:tr>
      <w:tr w14:paraId="38C5A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7106C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D82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C6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面积适中，对土地利用有利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E06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面积对土地利用较为有利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89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面积对土地利用无不良影响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42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面积较小，对土地利用有一定影响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B39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面积过小，对土地利用产生不利影响</w:t>
            </w:r>
          </w:p>
        </w:tc>
      </w:tr>
      <w:tr w14:paraId="6825D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D2AA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A2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宗地面积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1E2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宗地形状规则，利于土地利用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AB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宗地形状较规则，较利于土地利用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27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宗地形状一般，利于土地利用无影响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794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宗地形状较不规则，对土地利用有一定影响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AB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宗地形状不规则，不利于土地利用</w:t>
            </w:r>
          </w:p>
        </w:tc>
      </w:tr>
      <w:tr w14:paraId="2FCA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3-16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级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公共管理与公共服务用地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区位因素及个别因素修正系数表</w:t>
            </w:r>
          </w:p>
        </w:tc>
      </w:tr>
      <w:tr w14:paraId="2584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9124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因子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B0F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权重值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CD8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优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01B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较优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61F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194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较劣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4BB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劣</w:t>
            </w:r>
          </w:p>
        </w:tc>
      </w:tr>
      <w:tr w14:paraId="5B12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A80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距商服中心距离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74F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0.12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2AF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0.0240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EB1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0.0120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2AF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4E5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-0.0075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9F5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-0.0150 </w:t>
            </w:r>
          </w:p>
        </w:tc>
      </w:tr>
      <w:tr w14:paraId="0B91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313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道路类型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1BB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DA2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0.0200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BE1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0.0100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63C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3FF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-0.0063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D0B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-0.0125 </w:t>
            </w:r>
          </w:p>
        </w:tc>
      </w:tr>
      <w:tr w14:paraId="6D9A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6C6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交通便捷度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A1C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482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0.0200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94E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0.0100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062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954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-0.0063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863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-0.0125 </w:t>
            </w:r>
          </w:p>
        </w:tc>
      </w:tr>
      <w:tr w14:paraId="1C43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E67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供水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D5E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4C0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0.0160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396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877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A6E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-0.0050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4A1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-0.0100 </w:t>
            </w:r>
          </w:p>
        </w:tc>
      </w:tr>
      <w:tr w14:paraId="30C7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F48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排水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3A1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F92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0.0160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3E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064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195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-0.0050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67A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-0.0100 </w:t>
            </w:r>
          </w:p>
        </w:tc>
      </w:tr>
      <w:tr w14:paraId="2EEF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509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人口密度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84F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8A0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8D7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CC0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586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-0.0044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FC3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-0.0088 </w:t>
            </w:r>
          </w:p>
        </w:tc>
      </w:tr>
      <w:tr w14:paraId="1751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3A0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距银行距离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6F4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D32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B13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AEF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1BF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-0.0044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7A4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-0.0088 </w:t>
            </w:r>
          </w:p>
        </w:tc>
      </w:tr>
      <w:tr w14:paraId="3181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281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距学校距离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329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917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B4A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F4D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8F5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-0.0044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24D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-0.0088 </w:t>
            </w:r>
          </w:p>
        </w:tc>
      </w:tr>
      <w:tr w14:paraId="1A74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47E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距医院距离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F6C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0.07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7592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0.0140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226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495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3A8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-0.0044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26F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-0.0088 </w:t>
            </w:r>
          </w:p>
        </w:tc>
      </w:tr>
      <w:tr w14:paraId="04DE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14A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环境条件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ED8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25E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0.0160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E68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5E5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F06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-0.0050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C00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-0.0100 </w:t>
            </w:r>
          </w:p>
        </w:tc>
      </w:tr>
      <w:tr w14:paraId="7E72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C92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宗地形状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C56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481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0.0160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80E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29C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F32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-0.0050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AB4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-0.0100 </w:t>
            </w:r>
          </w:p>
        </w:tc>
      </w:tr>
      <w:tr w14:paraId="2FC0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5F3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宗地面积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323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0.08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FEA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0.0160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06F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EB7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E32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-0.0050 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139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-0.0100 </w:t>
            </w:r>
          </w:p>
        </w:tc>
      </w:tr>
    </w:tbl>
    <w:p w14:paraId="20F1EC68">
      <w:pPr>
        <w:rPr>
          <w:rFonts w:hint="eastAsia"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br w:type="page"/>
      </w:r>
    </w:p>
    <w:p w14:paraId="549E6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firstLine="560" w:firstLineChars="200"/>
        <w:textAlignment w:val="auto"/>
        <w:rPr>
          <w:rFonts w:hint="eastAsia" w:ascii="仿宋_GB2312" w:hAnsi="宋体" w:eastAsia="仿宋_GB2312"/>
          <w:b w:val="0"/>
          <w:bCs/>
          <w:kern w:val="2"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>（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b w:val="0"/>
          <w:bCs/>
          <w:sz w:val="28"/>
          <w:szCs w:val="28"/>
        </w:rPr>
        <w:t>）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lang w:val="en-US" w:eastAsia="zh-CN"/>
        </w:rPr>
        <w:t>公用设施用地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</w:rPr>
        <w:t>地价影响因素指标说明表及修正系数表</w:t>
      </w:r>
    </w:p>
    <w:p w14:paraId="673AD7A7">
      <w:pPr>
        <w:spacing w:line="360" w:lineRule="auto"/>
        <w:ind w:firstLine="0" w:firstLineChars="0"/>
        <w:jc w:val="center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b/>
          <w:sz w:val="24"/>
          <w:lang w:eastAsia="zh-CN"/>
        </w:rPr>
        <w:t>　</w:t>
      </w:r>
      <w:r>
        <w:rPr>
          <w:rFonts w:hint="eastAsia" w:ascii="仿宋_GB2312" w:hAnsi="宋体" w:eastAsia="仿宋_GB2312"/>
          <w:b/>
          <w:sz w:val="24"/>
        </w:rPr>
        <w:t>表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3-17</w:t>
      </w:r>
      <w:r>
        <w:rPr>
          <w:rFonts w:hint="eastAsia" w:ascii="仿宋_GB2312" w:hAnsi="宋体" w:eastAsia="仿宋_GB2312"/>
          <w:b/>
          <w:sz w:val="24"/>
        </w:rPr>
        <w:t xml:space="preserve"> </w:t>
      </w:r>
      <w:r>
        <w:rPr>
          <w:rFonts w:hint="eastAsia" w:ascii="仿宋_GB2312" w:hAnsi="宋体" w:eastAsia="仿宋_GB2312"/>
          <w:b/>
          <w:sz w:val="24"/>
          <w:highlight w:val="none"/>
        </w:rPr>
        <w:t>Ⅰ级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公用设施用地</w:t>
      </w:r>
      <w:r>
        <w:rPr>
          <w:rFonts w:hint="eastAsia" w:ascii="仿宋_GB2312" w:hAnsi="宋体" w:eastAsia="仿宋_GB2312"/>
          <w:b/>
          <w:sz w:val="24"/>
        </w:rPr>
        <w:t>区位因素及个别因素修正系数指标说明表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17"/>
        <w:gridCol w:w="793"/>
        <w:gridCol w:w="573"/>
        <w:gridCol w:w="825"/>
        <w:gridCol w:w="556"/>
        <w:gridCol w:w="842"/>
        <w:gridCol w:w="353"/>
        <w:gridCol w:w="641"/>
        <w:gridCol w:w="554"/>
        <w:gridCol w:w="966"/>
        <w:gridCol w:w="228"/>
        <w:gridCol w:w="1198"/>
      </w:tblGrid>
      <w:tr w14:paraId="4358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D30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影响因素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074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优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6C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较优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5D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一般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D2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较劣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93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劣</w:t>
            </w:r>
          </w:p>
        </w:tc>
      </w:tr>
      <w:tr w14:paraId="3994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DE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</w:t>
            </w:r>
          </w:p>
          <w:p w14:paraId="136EC9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AE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道路通达度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FB1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区域内有主、次干道通过，道路通达度好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9A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区域内有主干道通过，道路通达度较好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DE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区域内有次干道通过，道路通达性一般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C3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区域内有支路通过，道路通达性较差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63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区域内以巷道为主，道路通达性差</w:t>
            </w:r>
          </w:p>
        </w:tc>
      </w:tr>
      <w:tr w14:paraId="5053B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3F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C88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交通便捷度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F9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道路通达性好，交通便利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C8C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道路通达性较好，交通较便利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AD6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道路通达性一般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98A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06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1644D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D2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D1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B7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供水管道密集，设施完善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C3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供水管道较密集，设施较完善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A2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供水管道均匀，基本配套设施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64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供水管道稀疏，有少数配套设施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C7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无集中供水</w:t>
            </w:r>
          </w:p>
        </w:tc>
      </w:tr>
      <w:tr w14:paraId="3064E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C9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个别</w:t>
            </w:r>
          </w:p>
          <w:p w14:paraId="2B09A1C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7E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5E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形状规则极有利于土地利用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C8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形状规则对土地利用较有利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980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形状不规则，对土地利用无不良影响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F9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形状不规则，对土地利用有一定影响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9B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形状极不规则，对土地利用影响严重</w:t>
            </w:r>
          </w:p>
        </w:tc>
      </w:tr>
      <w:tr w14:paraId="2AA8C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69C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B4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宗地面积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88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面积符合土地利用类型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EC5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面积适中，较符合土地利用类型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6DA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面积偏大或偏小，对土地利用无不良影响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84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面积偏大或偏小，对土地利用有一定影响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3C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面积过大或过小，不符合土地利用类型</w:t>
            </w:r>
          </w:p>
        </w:tc>
      </w:tr>
      <w:tr w14:paraId="1C8A8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3A4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C5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工程地质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49C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地质承载力强，利于建设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B2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地质承载力较强，利于建设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31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无不良地质现象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CE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有不良地质状况，但无需特殊处理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1B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有不良地质状况,并需特殊处理</w:t>
            </w:r>
          </w:p>
        </w:tc>
      </w:tr>
      <w:tr w14:paraId="3645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表3-18   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Ⅰ级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公用设施用地区位因素及个别因素修正系数表</w:t>
            </w:r>
          </w:p>
        </w:tc>
      </w:tr>
      <w:tr w14:paraId="2A08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54D2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因子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E72E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权重值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1D4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优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3FC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较优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C66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7A4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较劣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77C8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劣</w:t>
            </w:r>
          </w:p>
        </w:tc>
      </w:tr>
      <w:tr w14:paraId="12D7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B28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道路通达度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83D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0.22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23F7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0.01507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BC3C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0.007535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5BD0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B637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-0.01507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624E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-0.03014</w:t>
            </w:r>
          </w:p>
        </w:tc>
      </w:tr>
      <w:tr w14:paraId="0697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CF79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交通便捷度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379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1569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0.0137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0B50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0.00685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610D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ADA9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-0.0137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68F4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-0.0274</w:t>
            </w:r>
          </w:p>
        </w:tc>
      </w:tr>
      <w:tr w14:paraId="19A2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919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供水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9E6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4CF6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0.015755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57E5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0.0078775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609C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A968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-0.015755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3CB9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-0.03151</w:t>
            </w:r>
          </w:p>
        </w:tc>
      </w:tr>
      <w:tr w14:paraId="1ED1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8F5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宗地形状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763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0.12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9052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0.00822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800E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0.00411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8ED4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6C80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-0.00822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2DD6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-0.01644</w:t>
            </w:r>
          </w:p>
        </w:tc>
      </w:tr>
      <w:tr w14:paraId="4421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8E1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宗地面积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EC4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0.13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5DBD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0.008905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21E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0.0044525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B3B0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954D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-0.008905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6562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-0.01781</w:t>
            </w:r>
          </w:p>
        </w:tc>
      </w:tr>
      <w:tr w14:paraId="724B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1606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工程地质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4BA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2B9C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0.00685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C0EC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0.003425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3B4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3893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-0.00685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8143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-0.0137</w:t>
            </w:r>
          </w:p>
        </w:tc>
      </w:tr>
    </w:tbl>
    <w:p w14:paraId="1D48755C">
      <w:pPr>
        <w:rPr>
          <w:rFonts w:hint="eastAsia" w:ascii="仿宋_GB2312" w:hAnsi="宋体" w:eastAsia="仿宋_GB2312"/>
          <w:b/>
          <w:sz w:val="24"/>
          <w:lang w:eastAsia="zh-CN"/>
        </w:rPr>
      </w:pPr>
      <w:r>
        <w:rPr>
          <w:rFonts w:hint="eastAsia" w:ascii="仿宋_GB2312" w:hAnsi="宋体" w:eastAsia="仿宋_GB2312"/>
          <w:b/>
          <w:sz w:val="24"/>
          <w:lang w:eastAsia="zh-CN"/>
        </w:rPr>
        <w:br w:type="page"/>
      </w:r>
    </w:p>
    <w:p w14:paraId="610CE9EB">
      <w:pPr>
        <w:spacing w:line="360" w:lineRule="auto"/>
        <w:ind w:firstLine="0" w:firstLineChars="0"/>
        <w:jc w:val="center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b/>
          <w:sz w:val="24"/>
          <w:lang w:eastAsia="zh-CN"/>
        </w:rPr>
        <w:t>　</w:t>
      </w:r>
      <w:r>
        <w:rPr>
          <w:rFonts w:hint="eastAsia" w:ascii="仿宋_GB2312" w:hAnsi="宋体" w:eastAsia="仿宋_GB2312"/>
          <w:b/>
          <w:sz w:val="24"/>
        </w:rPr>
        <w:t>表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3-19</w:t>
      </w:r>
      <w:r>
        <w:rPr>
          <w:rFonts w:hint="eastAsia" w:ascii="仿宋_GB2312" w:hAnsi="宋体" w:eastAsia="仿宋_GB2312"/>
          <w:b/>
          <w:sz w:val="24"/>
        </w:rPr>
        <w:t xml:space="preserve"> 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Ⅱ</w:t>
      </w:r>
      <w:r>
        <w:rPr>
          <w:rFonts w:hint="eastAsia" w:ascii="仿宋_GB2312" w:hAnsi="宋体" w:eastAsia="仿宋_GB2312"/>
          <w:b/>
          <w:sz w:val="24"/>
          <w:highlight w:val="none"/>
        </w:rPr>
        <w:t>级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公用设施用地</w:t>
      </w:r>
      <w:r>
        <w:rPr>
          <w:rFonts w:hint="eastAsia" w:ascii="仿宋_GB2312" w:hAnsi="宋体" w:eastAsia="仿宋_GB2312"/>
          <w:b/>
          <w:sz w:val="24"/>
        </w:rPr>
        <w:t>区位因素及个别因素修正系数指标说明表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322"/>
        <w:gridCol w:w="975"/>
        <w:gridCol w:w="385"/>
        <w:gridCol w:w="822"/>
        <w:gridCol w:w="559"/>
        <w:gridCol w:w="839"/>
        <w:gridCol w:w="356"/>
        <w:gridCol w:w="637"/>
        <w:gridCol w:w="557"/>
        <w:gridCol w:w="961"/>
        <w:gridCol w:w="234"/>
        <w:gridCol w:w="1198"/>
      </w:tblGrid>
      <w:tr w14:paraId="1E2C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31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影响因素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BA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优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71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较优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48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一般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25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较劣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81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劣</w:t>
            </w:r>
          </w:p>
        </w:tc>
      </w:tr>
      <w:tr w14:paraId="7246A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FC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</w:t>
            </w:r>
          </w:p>
          <w:p w14:paraId="459A2E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72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道路通达度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C7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区域内有主、次干道通过，道路通达度好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F2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区域内有主干道通过，道路通达度较好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939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区域内有次干道通过，道路通达性一般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B0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区域内有支路通过，道路通达性较差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EF0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区域内以巷道为主，道路通达性差</w:t>
            </w:r>
          </w:p>
        </w:tc>
      </w:tr>
      <w:tr w14:paraId="2F48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8BF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22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交通便捷度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30A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道路通达性好，交通便利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D6E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道路通达性较好，交通较便利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B6B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道路通达性一般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15B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道路通达性较差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5AB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道路通达性差</w:t>
            </w:r>
          </w:p>
        </w:tc>
      </w:tr>
      <w:tr w14:paraId="1165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27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D0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D4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供水管道密集，设施完善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FA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供水管道较密集，设施较完善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93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供水管道均匀，基本配套设施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90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供水管道稀疏，有少数配套设施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57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无集中供水</w:t>
            </w:r>
          </w:p>
        </w:tc>
      </w:tr>
      <w:tr w14:paraId="77B59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0CF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个别</w:t>
            </w:r>
          </w:p>
          <w:p w14:paraId="573BD8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因素</w:t>
            </w: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C5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宗地形状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67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形状规则极有利于土地利用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43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形状规则对土地利用较有利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1C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形状不规则，对土地利用无不良影响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86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形状不规则，对土地利用有一定影响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2C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形状极不规则，对土地利用影响严重</w:t>
            </w:r>
          </w:p>
        </w:tc>
      </w:tr>
      <w:tr w14:paraId="03E0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84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093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宗地面积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BD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面积符合土地利用类型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A9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面积适中，较符合土地利用类型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F47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面积偏大或偏小，对土地利用无不良影响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98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面积偏大或偏小，对土地利用有一定影响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D3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面积过大或过小，不符合土地利用类型</w:t>
            </w:r>
          </w:p>
        </w:tc>
      </w:tr>
      <w:tr w14:paraId="457D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E5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eastAsia="zh-CN"/>
              </w:rPr>
              <w:t>　　</w:t>
            </w: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3ACD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工程地质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A70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地质承载力强，利于建设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E3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地质承载力较强，利于建设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36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无不良地质现象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57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有不良地质状况，但无需特殊处理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D4C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</w:rPr>
              <w:t>有不良地质状况,并需特殊处理</w:t>
            </w:r>
          </w:p>
        </w:tc>
      </w:tr>
      <w:tr w14:paraId="11CF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9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表3-20   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级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公用设施用地区位因素及个别因素修正系数表</w:t>
            </w:r>
          </w:p>
        </w:tc>
      </w:tr>
      <w:tr w14:paraId="39F8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B976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因子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3EF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权重值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0FD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优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17C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较优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9DB1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D8E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较劣</w:t>
            </w: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AFCB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劣</w:t>
            </w:r>
          </w:p>
        </w:tc>
      </w:tr>
      <w:tr w14:paraId="7BD3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EA9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道路通达度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FEAA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0.22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52D4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0.044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3ADB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0.022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3F23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C203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-0.003388</w:t>
            </w: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CEAF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-0.006776</w:t>
            </w:r>
          </w:p>
        </w:tc>
      </w:tr>
      <w:tr w14:paraId="1217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D37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交通便捷度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B33C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3390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0.04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4F16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0.02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9BC3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6889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-0.00308</w:t>
            </w: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273E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-0.00616</w:t>
            </w:r>
          </w:p>
        </w:tc>
      </w:tr>
      <w:tr w14:paraId="5B4E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4A7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供水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911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0D6E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0.046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10F5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0.023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1BFD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BB12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-0.003542</w:t>
            </w: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EE79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-0.007084</w:t>
            </w:r>
          </w:p>
        </w:tc>
      </w:tr>
      <w:tr w14:paraId="5A5B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CB5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宗地形状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6E45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0.12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4383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0.024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984B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0.012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AB28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6D70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-0.001848</w:t>
            </w: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15F0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-0.003696</w:t>
            </w:r>
          </w:p>
        </w:tc>
      </w:tr>
      <w:tr w14:paraId="7457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8F93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宗地面积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1264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0.13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A7F6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0.026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356C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0.013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FDF0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BFA2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-0.002002</w:t>
            </w: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D7B5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-0.004004</w:t>
            </w:r>
          </w:p>
        </w:tc>
      </w:tr>
      <w:tr w14:paraId="287C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9D17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工程地质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E93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0102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0.02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8CF0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0.01</w:t>
            </w:r>
          </w:p>
        </w:tc>
        <w:tc>
          <w:tcPr>
            <w:tcW w:w="5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E99F"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0551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-0.00154</w:t>
            </w: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2863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lang w:val="en-US" w:eastAsia="zh-CN"/>
              </w:rPr>
              <w:t>-0.00308</w:t>
            </w:r>
          </w:p>
        </w:tc>
      </w:tr>
    </w:tbl>
    <w:p w14:paraId="704FEA07">
      <w:pPr>
        <w:pStyle w:val="2"/>
        <w:bidi w:val="0"/>
        <w:outlineLvl w:val="1"/>
        <w:rPr>
          <w:rFonts w:hint="eastAsia" w:ascii="仿宋_GB2312" w:hAnsi="宋体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75B1DCE"/>
    <w:p w14:paraId="61627A9E"/>
    <w:p w14:paraId="270F0F98"/>
    <w:p w14:paraId="29FCAA40"/>
    <w:p w14:paraId="3419B0DC"/>
    <w:p w14:paraId="0ED8F168"/>
    <w:p w14:paraId="04A2A9E9"/>
    <w:p w14:paraId="5C7F27E3"/>
    <w:p w14:paraId="4789A6E9"/>
    <w:p w14:paraId="5EBC8B2F"/>
    <w:p w14:paraId="2741321F"/>
    <w:p w14:paraId="00914212"/>
    <w:p w14:paraId="517626D1"/>
    <w:p w14:paraId="417D6725"/>
    <w:p w14:paraId="3A2B9711"/>
    <w:p w14:paraId="76C668B7"/>
    <w:p w14:paraId="580BF574"/>
    <w:p w14:paraId="456C9136"/>
    <w:p w14:paraId="6ACD68D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264750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</w:pPr>
      <w:r>
        <w:rPr>
          <w:rFonts w:hint="eastAsia" w:ascii="黑体" w:hAnsi="宋体" w:cstheme="minorBidi"/>
          <w:b w:val="0"/>
          <w:bCs/>
          <w:kern w:val="2"/>
          <w:sz w:val="30"/>
          <w:szCs w:val="30"/>
          <w:lang w:val="en-US" w:eastAsia="zh-CN" w:bidi="ar-SA"/>
        </w:rPr>
        <w:t>四</w:t>
      </w:r>
      <w:r>
        <w:rPr>
          <w:rFonts w:hint="eastAsia" w:ascii="黑体" w:hAnsi="宋体" w:eastAsia="黑体" w:cstheme="minorBidi"/>
          <w:b w:val="0"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黑体" w:hAnsi="宋体"/>
          <w:b w:val="0"/>
          <w:szCs w:val="30"/>
        </w:rPr>
        <w:t>基准地价</w:t>
      </w:r>
      <w:r>
        <w:rPr>
          <w:rFonts w:hint="eastAsia" w:ascii="黑体" w:hAnsi="宋体"/>
          <w:b w:val="0"/>
          <w:szCs w:val="30"/>
          <w:lang w:val="en-US" w:eastAsia="zh-CN"/>
        </w:rPr>
        <w:t>级别与基准地价图</w:t>
      </w:r>
    </w:p>
    <w:p w14:paraId="58266D6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表4-1  沙金套海苏木商业服务业用地级别与基准地价图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C8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E56E0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271770" cy="6321425"/>
                  <wp:effectExtent l="0" t="0" r="5080" b="3175"/>
                  <wp:docPr id="37" name="图片 37" descr="71ff24bcf4a04745e6735c211553d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71ff24bcf4a04745e6735c211553d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632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AA2104">
      <w:pPr>
        <w:rPr>
          <w:rFonts w:hint="eastAsia" w:ascii="宋体" w:hAnsi="宋体" w:eastAsia="宋体" w:cs="Times New Roman"/>
          <w:kern w:val="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8F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467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表4-2  沙金套海苏木居住用地级别与基准地价图</w:t>
            </w:r>
          </w:p>
        </w:tc>
      </w:tr>
      <w:tr w14:paraId="19E0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E679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271770" cy="6321425"/>
                  <wp:effectExtent l="0" t="0" r="5080" b="3175"/>
                  <wp:docPr id="32" name="图片 32" descr="沙金套海苏木居住用地级别与基准地价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沙金套海苏木居住用地级别与基准地价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632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ED377F">
      <w:pPr>
        <w:rPr>
          <w:rFonts w:hint="eastAsia" w:ascii="宋体" w:hAnsi="宋体" w:eastAsia="宋体" w:cs="Times New Roman"/>
          <w:kern w:val="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FD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0CF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表4-3  沙金套海苏木工矿用地级别与基准地价图</w:t>
            </w:r>
          </w:p>
        </w:tc>
      </w:tr>
      <w:tr w14:paraId="0F90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13C0D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271770" cy="6321425"/>
                  <wp:effectExtent l="0" t="0" r="5080" b="3175"/>
                  <wp:docPr id="33" name="图片 33" descr="沙金套海苏木工矿用地级别与基准地价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沙金套海苏木工矿用地级别与基准地价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632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ADC427">
      <w:pPr>
        <w:rPr>
          <w:rFonts w:hint="eastAsia" w:ascii="宋体" w:hAnsi="宋体" w:eastAsia="宋体" w:cs="Times New Roman"/>
          <w:kern w:val="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5C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14D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表4-4  沙金套海苏木公共管理与公共服务用地级别与基准地价图</w:t>
            </w:r>
          </w:p>
        </w:tc>
      </w:tr>
      <w:tr w14:paraId="7794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8FB91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271770" cy="6321425"/>
                  <wp:effectExtent l="0" t="0" r="5080" b="3175"/>
                  <wp:docPr id="34" name="图片 34" descr="沙金套海苏木公共管理与公共服务设施用地级别与基准地价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沙金套海苏木公共管理与公共服务设施用地级别与基准地价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632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58664">
      <w:pPr>
        <w:rPr>
          <w:rFonts w:hint="eastAsia" w:ascii="宋体" w:hAnsi="宋体" w:eastAsia="宋体" w:cs="Times New Roman"/>
          <w:kern w:val="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3A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48D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表4-5 沙金套海苏木公用设施用地级别与基准地价图</w:t>
            </w:r>
          </w:p>
        </w:tc>
      </w:tr>
      <w:tr w14:paraId="2BD8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1DE50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271770" cy="6321425"/>
                  <wp:effectExtent l="0" t="0" r="5080" b="3175"/>
                  <wp:docPr id="35" name="图片 35" descr="沙金套海苏木公用设施用地级别与基准地价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沙金套海苏木公用设施用地级别与基准地价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632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9C86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28"/>
          <w:szCs w:val="28"/>
        </w:rPr>
      </w:pPr>
    </w:p>
    <w:p w14:paraId="5655FF05">
      <w:pPr>
        <w:jc w:val="both"/>
        <w:rPr>
          <w:rFonts w:hint="eastAsia" w:ascii="宋体" w:hAnsi="宋体" w:eastAsia="宋体"/>
          <w:sz w:val="28"/>
          <w:szCs w:val="32"/>
          <w:lang w:val="en-US" w:eastAsia="zh-CN"/>
        </w:rPr>
      </w:pPr>
    </w:p>
    <w:p w14:paraId="2A9E9C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ZWVkMDhiMzQ3NThhMTBjNTQ3YTgwZGI0MDYyMmUifQ=="/>
  </w:docVars>
  <w:rsids>
    <w:rsidRoot w:val="0CD76BD3"/>
    <w:rsid w:val="0CD76BD3"/>
    <w:rsid w:val="71A1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ind w:firstLine="0" w:firstLineChars="0"/>
      <w:outlineLvl w:val="1"/>
    </w:pPr>
    <w:rPr>
      <w:rFonts w:ascii="仿宋" w:hAnsi="仿宋" w:cs="仿宋"/>
      <w:b/>
      <w:bCs/>
      <w:sz w:val="30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表格"/>
    <w:basedOn w:val="1"/>
    <w:autoRedefine/>
    <w:qFormat/>
    <w:uiPriority w:val="0"/>
    <w:pPr>
      <w:widowControl/>
      <w:spacing w:line="300" w:lineRule="auto"/>
      <w:jc w:val="left"/>
    </w:pPr>
    <w:rPr>
      <w:rFonts w:ascii="宋体"/>
      <w:kern w:val="28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2024-10-31T00:45:00Z</dcterms:created>
  <dc:creator>^ω^</dc:creator>
  <cp:lastModifiedBy>^ω^</cp:lastModifiedBy>
  <dcterms:modified xsi:type="dcterms:W3CDTF">2024-10-31T01:59:42Z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F385D6CA5F2141608B09C08C6E52C679_11</vt:lpwstr>
  </property>
</Properties>
</file>