
<file path=[Content_Types].xml><?xml version="1.0" encoding="utf-8"?>
<Types xmlns="http://schemas.openxmlformats.org/package/2006/content-types">
  <Default Extension="xml" ContentType="application/xml"/>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napToGrid w:val="0"/>
        <w:ind w:firstLine="560"/>
        <w:jc w:val="center"/>
      </w:pPr>
      <w:bookmarkStart w:id="0" w:name="_Toc438149022"/>
      <w:bookmarkStart w:id="1" w:name="_Toc440960081"/>
      <w:bookmarkStart w:id="2" w:name="_Toc440957570"/>
      <w:bookmarkStart w:id="3" w:name="_Toc439687045"/>
      <w:bookmarkStart w:id="4" w:name="_Toc440960126"/>
      <w:bookmarkStart w:id="5" w:name="_Toc440959968"/>
      <w:bookmarkStart w:id="6" w:name="_Toc438149340"/>
      <w:bookmarkStart w:id="7" w:name="_Toc440960173"/>
    </w:p>
    <w:p>
      <w:pPr>
        <w:autoSpaceDN w:val="0"/>
        <w:snapToGrid w:val="0"/>
        <w:ind w:firstLine="560"/>
        <w:jc w:val="center"/>
      </w:pPr>
    </w:p>
    <w:p>
      <w:pPr>
        <w:autoSpaceDN w:val="0"/>
        <w:snapToGrid w:val="0"/>
        <w:ind w:firstLine="0" w:firstLineChars="0"/>
        <w:jc w:val="center"/>
        <w:rPr>
          <w:rFonts w:ascii="仿宋" w:hAnsi="仿宋" w:eastAsia="仿宋"/>
          <w:b/>
          <w:sz w:val="52"/>
        </w:rPr>
      </w:pPr>
    </w:p>
    <w:bookmarkEnd w:id="0"/>
    <w:bookmarkEnd w:id="1"/>
    <w:bookmarkEnd w:id="2"/>
    <w:bookmarkEnd w:id="3"/>
    <w:bookmarkEnd w:id="4"/>
    <w:bookmarkEnd w:id="5"/>
    <w:bookmarkEnd w:id="6"/>
    <w:bookmarkEnd w:id="7"/>
    <w:p>
      <w:pPr>
        <w:autoSpaceDN w:val="0"/>
        <w:snapToGrid w:val="0"/>
        <w:ind w:firstLine="0" w:firstLineChars="0"/>
        <w:jc w:val="center"/>
        <w:rPr>
          <w:rFonts w:ascii="黑体" w:hAnsi="黑体" w:eastAsia="黑体"/>
          <w:sz w:val="52"/>
        </w:rPr>
      </w:pPr>
      <w:r>
        <w:rPr>
          <w:rFonts w:hint="eastAsia" w:ascii="黑体" w:hAnsi="黑体" w:eastAsia="黑体"/>
          <w:sz w:val="52"/>
        </w:rPr>
        <w:t>杭锦后旗头道桥镇</w:t>
      </w:r>
    </w:p>
    <w:p>
      <w:pPr>
        <w:autoSpaceDN w:val="0"/>
        <w:snapToGrid w:val="0"/>
        <w:ind w:firstLine="0" w:firstLineChars="0"/>
        <w:jc w:val="center"/>
        <w:rPr>
          <w:rFonts w:ascii="黑体" w:hAnsi="黑体" w:eastAsia="黑体"/>
          <w:sz w:val="21"/>
        </w:rPr>
      </w:pPr>
      <w:r>
        <w:rPr>
          <w:rFonts w:ascii="黑体" w:hAnsi="黑体" w:eastAsia="黑体"/>
          <w:sz w:val="52"/>
        </w:rPr>
        <w:t>土地定级与基准地价更新成果报告</w:t>
      </w:r>
    </w:p>
    <w:p>
      <w:pPr>
        <w:ind w:firstLine="0" w:firstLineChars="0"/>
        <w:jc w:val="center"/>
        <w:rPr>
          <w:rFonts w:ascii="仿宋" w:hAnsi="仿宋" w:eastAsia="仿宋"/>
        </w:rPr>
      </w:pPr>
      <w:r>
        <w:rPr>
          <w:rFonts w:ascii="仿宋" w:hAnsi="仿宋" w:eastAsia="仿宋"/>
          <w:b/>
          <w:sz w:val="52"/>
        </w:rPr>
        <w:drawing>
          <wp:inline distT="0" distB="0" distL="0" distR="0">
            <wp:extent cx="5732145" cy="584835"/>
            <wp:effectExtent l="0" t="0" r="1905" b="5715"/>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pic:cNvPicPr>
                  </pic:nvPicPr>
                  <pic:blipFill>
                    <a:blip r:embed="rId17">
                      <a:extLst>
                        <a:ext uri="{28A0092B-C50C-407E-A947-70E740481C1C}">
                          <a14:useLocalDpi xmlns:a14="http://schemas.microsoft.com/office/drawing/2010/main" val="false"/>
                        </a:ext>
                      </a:extLst>
                    </a:blip>
                    <a:stretch>
                      <a:fillRect/>
                    </a:stretch>
                  </pic:blipFill>
                  <pic:spPr>
                    <a:xfrm>
                      <a:off x="0" y="0"/>
                      <a:ext cx="5732145" cy="585046"/>
                    </a:xfrm>
                    <a:prstGeom prst="rect">
                      <a:avLst/>
                    </a:prstGeom>
                  </pic:spPr>
                </pic:pic>
              </a:graphicData>
            </a:graphic>
          </wp:inline>
        </w:drawing>
      </w: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0" w:firstLineChars="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560"/>
        <w:jc w:val="center"/>
        <w:rPr>
          <w:rFonts w:ascii="仿宋" w:hAnsi="仿宋" w:eastAsia="仿宋"/>
        </w:rPr>
      </w:pPr>
    </w:p>
    <w:p>
      <w:pPr>
        <w:ind w:firstLine="0" w:firstLineChars="0"/>
        <w:rPr>
          <w:rFonts w:ascii="仿宋" w:hAnsi="仿宋" w:eastAsia="仿宋"/>
        </w:rPr>
      </w:pPr>
    </w:p>
    <w:p>
      <w:pPr>
        <w:adjustRightInd w:val="0"/>
        <w:snapToGrid w:val="0"/>
        <w:ind w:firstLine="0" w:firstLineChars="0"/>
        <w:jc w:val="center"/>
        <w:rPr>
          <w:rFonts w:ascii="仿宋" w:hAnsi="仿宋" w:eastAsia="仿宋" w:cs="仿宋_GB2312"/>
          <w:b/>
          <w:sz w:val="32"/>
          <w:szCs w:val="32"/>
        </w:rPr>
      </w:pPr>
      <w:bookmarkStart w:id="8" w:name="_Toc27752"/>
      <w:bookmarkStart w:id="9" w:name="_Toc9831"/>
      <w:bookmarkStart w:id="10" w:name="_Toc22972"/>
      <w:bookmarkStart w:id="11" w:name="_Toc2928"/>
      <w:bookmarkStart w:id="12" w:name="_Toc438149309"/>
      <w:bookmarkStart w:id="13" w:name="_Toc438148991"/>
      <w:bookmarkStart w:id="14" w:name="_Toc17945"/>
      <w:r>
        <w:rPr>
          <w:rFonts w:hint="eastAsia" w:ascii="仿宋" w:hAnsi="仿宋" w:eastAsia="仿宋" w:cs="仿宋_GB2312"/>
          <w:b/>
          <w:sz w:val="32"/>
          <w:szCs w:val="32"/>
        </w:rPr>
        <w:t>杭锦后旗自然资源局</w:t>
      </w:r>
      <w:bookmarkEnd w:id="8"/>
      <w:bookmarkEnd w:id="9"/>
      <w:bookmarkEnd w:id="10"/>
      <w:bookmarkEnd w:id="11"/>
      <w:bookmarkEnd w:id="12"/>
      <w:bookmarkEnd w:id="13"/>
      <w:bookmarkEnd w:id="14"/>
    </w:p>
    <w:p>
      <w:pPr>
        <w:adjustRightInd w:val="0"/>
        <w:snapToGrid w:val="0"/>
        <w:ind w:firstLine="0" w:firstLineChars="0"/>
        <w:jc w:val="center"/>
        <w:rPr>
          <w:rFonts w:ascii="仿宋" w:hAnsi="仿宋" w:eastAsia="仿宋" w:cs="仿宋_GB2312"/>
          <w:b/>
          <w:sz w:val="32"/>
          <w:szCs w:val="32"/>
        </w:rPr>
      </w:pPr>
      <w:r>
        <w:rPr>
          <w:rFonts w:hint="eastAsia" w:ascii="仿宋" w:hAnsi="仿宋" w:eastAsia="仿宋" w:cs="仿宋_GB2312"/>
          <w:b/>
          <w:sz w:val="32"/>
          <w:szCs w:val="32"/>
        </w:rPr>
        <w:t>呼和浩特市卓地不动产评估咨询有限责任公司</w:t>
      </w:r>
    </w:p>
    <w:p>
      <w:pPr>
        <w:adjustRightInd w:val="0"/>
        <w:snapToGrid w:val="0"/>
        <w:ind w:firstLine="0" w:firstLineChars="0"/>
        <w:jc w:val="center"/>
        <w:rPr>
          <w:rFonts w:ascii="仿宋" w:hAnsi="仿宋" w:eastAsia="仿宋" w:cs="仿宋_GB2312"/>
          <w:b/>
          <w:sz w:val="32"/>
          <w:szCs w:val="32"/>
        </w:rPr>
      </w:pPr>
      <w:r>
        <w:rPr>
          <w:rFonts w:hint="eastAsia" w:ascii="仿宋" w:hAnsi="仿宋" w:eastAsia="仿宋" w:cs="仿宋"/>
          <w:b/>
          <w:sz w:val="32"/>
          <w:szCs w:val="32"/>
        </w:rPr>
        <w:t>二〇二三年六月</w:t>
      </w:r>
    </w:p>
    <w:p>
      <w:pPr>
        <w:pStyle w:val="27"/>
        <w:tabs>
          <w:tab w:val="right" w:leader="dot" w:pos="9027"/>
        </w:tabs>
        <w:ind w:firstLine="560"/>
        <w:jc w:val="center"/>
        <w:sectPr>
          <w:headerReference r:id="rId7" w:type="first"/>
          <w:footerReference r:id="rId10" w:type="first"/>
          <w:headerReference r:id="rId5" w:type="default"/>
          <w:footerReference r:id="rId8" w:type="default"/>
          <w:headerReference r:id="rId6" w:type="even"/>
          <w:footerReference r:id="rId9" w:type="even"/>
          <w:pgSz w:w="11907" w:h="16840"/>
          <w:pgMar w:top="1418" w:right="1440" w:bottom="1701" w:left="1440" w:header="851" w:footer="992" w:gutter="0"/>
          <w:cols w:space="720" w:num="1"/>
          <w:titlePg/>
          <w:docGrid w:type="lines" w:linePitch="312" w:charSpace="0"/>
        </w:sectPr>
      </w:pPr>
    </w:p>
    <w:p>
      <w:pPr>
        <w:pStyle w:val="27"/>
        <w:tabs>
          <w:tab w:val="right" w:leader="dot" w:pos="9027"/>
        </w:tabs>
        <w:ind w:firstLine="560"/>
        <w:jc w:val="center"/>
        <w:rPr>
          <w:rFonts w:ascii="仿宋_GB2312" w:hAnsi="仿宋_GB2312" w:cs="仿宋_GB2312"/>
        </w:rPr>
      </w:pPr>
      <w:r>
        <w:rPr>
          <w:rFonts w:hint="eastAsia" w:ascii="仿宋_GB2312" w:hAnsi="仿宋_GB2312" w:cs="仿宋_GB2312"/>
        </w:rPr>
        <w:t>目  录</w:t>
      </w:r>
    </w:p>
    <w:p>
      <w:pPr>
        <w:pStyle w:val="27"/>
        <w:tabs>
          <w:tab w:val="right" w:leader="dot" w:pos="9017"/>
        </w:tabs>
        <w:ind w:firstLine="560"/>
        <w:rPr>
          <w:rFonts w:asciiTheme="minorHAnsi" w:hAnsiTheme="minorHAnsi" w:eastAsiaTheme="minorEastAsia" w:cstheme="minorBidi"/>
          <w:sz w:val="21"/>
          <w:szCs w:val="22"/>
        </w:rPr>
      </w:pPr>
      <w:r>
        <w:rPr>
          <w:rFonts w:hint="eastAsia" w:ascii="宋体" w:hAnsi="宋体" w:eastAsia="宋体" w:cs="仿宋_GB2312"/>
        </w:rPr>
        <w:fldChar w:fldCharType="begin"/>
      </w:r>
      <w:r>
        <w:rPr>
          <w:rFonts w:hint="eastAsia" w:ascii="宋体" w:hAnsi="宋体" w:eastAsia="宋体" w:cs="仿宋_GB2312"/>
        </w:rPr>
        <w:instrText xml:space="preserve">TOC \o "1-2" \h  \u </w:instrText>
      </w:r>
      <w:r>
        <w:rPr>
          <w:rFonts w:hint="eastAsia" w:ascii="宋体" w:hAnsi="宋体" w:eastAsia="宋体" w:cs="仿宋_GB2312"/>
        </w:rPr>
        <w:fldChar w:fldCharType="separate"/>
      </w:r>
      <w:r>
        <w:fldChar w:fldCharType="begin"/>
      </w:r>
      <w:r>
        <w:instrText xml:space="preserve"> HYPERLINK \l "_Toc143875226" </w:instrText>
      </w:r>
      <w:r>
        <w:fldChar w:fldCharType="separate"/>
      </w:r>
      <w:r>
        <w:rPr>
          <w:rStyle w:val="44"/>
          <w:rFonts w:ascii="黑体" w:hAnsi="黑体" w:eastAsia="黑体" w:cs="黑体"/>
        </w:rPr>
        <w:t>一、基准地价主要成果</w:t>
      </w:r>
      <w:r>
        <w:tab/>
      </w:r>
      <w:r>
        <w:fldChar w:fldCharType="begin"/>
      </w:r>
      <w:r>
        <w:instrText xml:space="preserve"> PAGEREF _Toc143875226 \h </w:instrText>
      </w:r>
      <w:r>
        <w:fldChar w:fldCharType="separate"/>
      </w:r>
      <w:r>
        <w:t>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"_Toc143875227" </w:instrText>
      </w:r>
      <w:r>
        <w:fldChar w:fldCharType="separate"/>
      </w:r>
      <w:r>
        <w:rPr>
          <w:rStyle w:val="44"/>
          <w:rFonts w:ascii="仿宋" w:hAnsi="仿宋" w:eastAsia="仿宋"/>
          <w:b/>
          <w:bCs/>
          <w:kern w:val="0"/>
        </w:rPr>
        <w:t>（一）杭锦后旗头道桥镇土地定级成果</w:t>
      </w:r>
      <w:r>
        <w:tab/>
      </w:r>
      <w:r>
        <w:fldChar w:fldCharType="begin"/>
      </w:r>
      <w:r>
        <w:instrText xml:space="preserve"> PAGEREF _Toc143875227 \h </w:instrText>
      </w:r>
      <w:r>
        <w:fldChar w:fldCharType="separate"/>
      </w:r>
      <w:r>
        <w:t>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"_Toc143875228" </w:instrText>
      </w:r>
      <w:r>
        <w:fldChar w:fldCharType="separate"/>
      </w:r>
      <w:r>
        <w:rPr>
          <w:rStyle w:val="44"/>
          <w:rFonts w:ascii="仿宋" w:hAnsi="仿宋" w:eastAsia="仿宋"/>
          <w:b/>
          <w:bCs/>
          <w:kern w:val="0"/>
        </w:rPr>
        <w:t>（二）杭锦后旗头道桥镇各类用地级别基准地价</w:t>
      </w:r>
      <w:r>
        <w:tab/>
      </w:r>
      <w:r>
        <w:fldChar w:fldCharType="begin"/>
      </w:r>
      <w:r>
        <w:instrText xml:space="preserve"> PAGEREF _Toc143875228 \h </w:instrText>
      </w:r>
      <w:r>
        <w:fldChar w:fldCharType="separate"/>
      </w:r>
      <w:r>
        <w:t>4</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"_Toc143875229" </w:instrText>
      </w:r>
      <w:r>
        <w:fldChar w:fldCharType="separate"/>
      </w:r>
      <w:r>
        <w:rPr>
          <w:rStyle w:val="44"/>
          <w:rFonts w:ascii="仿宋" w:hAnsi="仿宋" w:eastAsia="仿宋"/>
          <w:b/>
          <w:bCs/>
          <w:kern w:val="0"/>
        </w:rPr>
        <w:t>（三）基准地价内涵说明</w:t>
      </w:r>
      <w:r>
        <w:tab/>
      </w:r>
      <w:r>
        <w:fldChar w:fldCharType="begin"/>
      </w:r>
      <w:r>
        <w:instrText xml:space="preserve"> PAGEREF _Toc143875229 \h </w:instrText>
      </w:r>
      <w:r>
        <w:fldChar w:fldCharType="separate"/>
      </w:r>
      <w:r>
        <w:t>5</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"_Toc143875230" </w:instrText>
      </w:r>
      <w:r>
        <w:fldChar w:fldCharType="separate"/>
      </w:r>
      <w:r>
        <w:rPr>
          <w:rStyle w:val="44"/>
          <w:rFonts w:ascii="黑体" w:hAnsi="黑体" w:eastAsia="黑体" w:cs="黑体"/>
        </w:rPr>
        <w:t>二、基准地价修正体系</w:t>
      </w:r>
      <w:r>
        <w:tab/>
      </w:r>
      <w:r>
        <w:fldChar w:fldCharType="begin"/>
      </w:r>
      <w:r>
        <w:instrText xml:space="preserve"> PAGEREF _Toc143875230 \h </w:instrText>
      </w:r>
      <w:r>
        <w:fldChar w:fldCharType="separate"/>
      </w:r>
      <w:r>
        <w:t>6</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"_Toc143875231" </w:instrText>
      </w:r>
      <w:r>
        <w:fldChar w:fldCharType="separate"/>
      </w:r>
      <w:r>
        <w:rPr>
          <w:rStyle w:val="44"/>
          <w:rFonts w:ascii="仿宋" w:hAnsi="仿宋" w:eastAsia="仿宋"/>
          <w:b/>
          <w:bCs/>
          <w:kern w:val="0"/>
        </w:rPr>
        <w:t>（一）区位因素修正体系</w:t>
      </w:r>
      <w:r>
        <w:tab/>
      </w:r>
      <w:r>
        <w:fldChar w:fldCharType="begin"/>
      </w:r>
      <w:r>
        <w:instrText xml:space="preserve"> PAGEREF _Toc143875231 \h </w:instrText>
      </w:r>
      <w:r>
        <w:fldChar w:fldCharType="separate"/>
      </w:r>
      <w:r>
        <w:t>6</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"_Toc143875232" </w:instrText>
      </w:r>
      <w:r>
        <w:fldChar w:fldCharType="separate"/>
      </w:r>
      <w:r>
        <w:rPr>
          <w:rStyle w:val="44"/>
          <w:rFonts w:ascii="仿宋" w:hAnsi="仿宋" w:eastAsia="仿宋"/>
          <w:b/>
          <w:bCs/>
          <w:kern w:val="0"/>
        </w:rPr>
        <w:t>（二）其他修正体系</w:t>
      </w:r>
      <w:r>
        <w:tab/>
      </w:r>
      <w:r>
        <w:fldChar w:fldCharType="begin"/>
      </w:r>
      <w:r>
        <w:instrText xml:space="preserve"> PAGEREF _Toc143875232 \h </w:instrText>
      </w:r>
      <w:r>
        <w:fldChar w:fldCharType="separate"/>
      </w:r>
      <w:r>
        <w:t>20</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"_Toc143875233" </w:instrText>
      </w:r>
      <w:r>
        <w:fldChar w:fldCharType="separate"/>
      </w:r>
      <w:r>
        <w:rPr>
          <w:rStyle w:val="44"/>
          <w:rFonts w:ascii="黑体" w:hAnsi="黑体" w:eastAsia="黑体" w:cs="黑体"/>
        </w:rPr>
        <w:t>三、基准地价对比分析</w:t>
      </w:r>
      <w:r>
        <w:tab/>
      </w:r>
      <w:r>
        <w:fldChar w:fldCharType="begin"/>
      </w:r>
      <w:r>
        <w:instrText xml:space="preserve"> PAGEREF _Toc143875233 \h </w:instrText>
      </w:r>
      <w:r>
        <w:fldChar w:fldCharType="separate"/>
      </w:r>
      <w:r>
        <w:t>25</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"_Toc143875234" </w:instrText>
      </w:r>
      <w:r>
        <w:fldChar w:fldCharType="separate"/>
      </w:r>
      <w:r>
        <w:rPr>
          <w:rStyle w:val="44"/>
          <w:rFonts w:ascii="仿宋" w:hAnsi="仿宋" w:eastAsia="仿宋"/>
          <w:b/>
          <w:bCs/>
          <w:kern w:val="0"/>
        </w:rPr>
        <w:t>（一）上一轮基准地价简介</w:t>
      </w:r>
      <w:r>
        <w:tab/>
      </w:r>
      <w:r>
        <w:fldChar w:fldCharType="begin"/>
      </w:r>
      <w:r>
        <w:instrText xml:space="preserve"> PAGEREF _Toc143875234 \h </w:instrText>
      </w:r>
      <w:r>
        <w:fldChar w:fldCharType="separate"/>
      </w:r>
      <w:r>
        <w:t>25</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"_Toc143875235" </w:instrText>
      </w:r>
      <w:r>
        <w:fldChar w:fldCharType="separate"/>
      </w:r>
      <w:r>
        <w:rPr>
          <w:rStyle w:val="44"/>
          <w:rFonts w:ascii="仿宋" w:hAnsi="仿宋"/>
          <w:b/>
          <w:bCs/>
        </w:rPr>
        <w:t>（二）与上一轮基准地价比较</w:t>
      </w:r>
      <w:r>
        <w:tab/>
      </w:r>
      <w:r>
        <w:fldChar w:fldCharType="begin"/>
      </w:r>
      <w:r>
        <w:instrText xml:space="preserve"> PAGEREF _Toc143875235 \h </w:instrText>
      </w:r>
      <w:r>
        <w:fldChar w:fldCharType="separate"/>
      </w:r>
      <w:r>
        <w:t>25</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"_Toc143875236" </w:instrText>
      </w:r>
      <w:r>
        <w:fldChar w:fldCharType="separate"/>
      </w:r>
      <w:r>
        <w:rPr>
          <w:rStyle w:val="44"/>
          <w:rFonts w:ascii="黑体" w:hAnsi="黑体" w:eastAsia="黑体" w:cs="黑体"/>
        </w:rPr>
        <w:t>四、杭锦后旗头道桥镇公共服务项目用地基准地价评估</w:t>
      </w:r>
      <w:r>
        <w:tab/>
      </w:r>
      <w:r>
        <w:fldChar w:fldCharType="begin"/>
      </w:r>
      <w:r>
        <w:instrText xml:space="preserve"> PAGEREF _Toc143875236 \h </w:instrText>
      </w:r>
      <w:r>
        <w:fldChar w:fldCharType="separate"/>
      </w:r>
      <w:r>
        <w:t>28</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"_Toc143875237" </w:instrText>
      </w:r>
      <w:r>
        <w:fldChar w:fldCharType="separate"/>
      </w:r>
      <w:r>
        <w:rPr>
          <w:rStyle w:val="44"/>
          <w:rFonts w:ascii="仿宋" w:hAnsi="仿宋" w:eastAsia="仿宋"/>
          <w:b/>
          <w:bCs/>
          <w:kern w:val="0"/>
        </w:rPr>
        <w:t>（一）公共服务项目用地级别的划定</w:t>
      </w:r>
      <w:r>
        <w:tab/>
      </w:r>
      <w:r>
        <w:fldChar w:fldCharType="begin"/>
      </w:r>
      <w:r>
        <w:instrText xml:space="preserve"> PAGEREF _Toc143875237 \h </w:instrText>
      </w:r>
      <w:r>
        <w:fldChar w:fldCharType="separate"/>
      </w:r>
      <w:r>
        <w:t>28</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"_Toc143875238" </w:instrText>
      </w:r>
      <w:r>
        <w:fldChar w:fldCharType="separate"/>
      </w:r>
      <w:r>
        <w:rPr>
          <w:rStyle w:val="44"/>
          <w:rFonts w:ascii="仿宋" w:hAnsi="仿宋" w:eastAsia="仿宋"/>
          <w:b/>
          <w:bCs/>
          <w:kern w:val="0"/>
        </w:rPr>
        <w:t>（二）公共服务项目用地基准地价内涵</w:t>
      </w:r>
      <w:r>
        <w:tab/>
      </w:r>
      <w:r>
        <w:fldChar w:fldCharType="begin"/>
      </w:r>
      <w:r>
        <w:instrText xml:space="preserve"> PAGEREF _Toc143875238 \h </w:instrText>
      </w:r>
      <w:r>
        <w:fldChar w:fldCharType="separate"/>
      </w:r>
      <w:r>
        <w:t>29</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"_Toc143875239" </w:instrText>
      </w:r>
      <w:r>
        <w:fldChar w:fldCharType="separate"/>
      </w:r>
      <w:r>
        <w:rPr>
          <w:rStyle w:val="44"/>
          <w:rFonts w:ascii="仿宋" w:hAnsi="仿宋" w:eastAsia="仿宋"/>
          <w:b/>
          <w:bCs/>
          <w:kern w:val="0"/>
        </w:rPr>
        <w:t>（三）公共服务项目用地基准地价的确定</w:t>
      </w:r>
      <w:r>
        <w:tab/>
      </w:r>
      <w:r>
        <w:fldChar w:fldCharType="begin"/>
      </w:r>
      <w:r>
        <w:instrText xml:space="preserve"> PAGEREF _Toc143875239 \h </w:instrText>
      </w:r>
      <w:r>
        <w:fldChar w:fldCharType="separate"/>
      </w:r>
      <w:r>
        <w:t>29</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"_Toc143875240" </w:instrText>
      </w:r>
      <w:r>
        <w:fldChar w:fldCharType="separate"/>
      </w:r>
      <w:r>
        <w:rPr>
          <w:rStyle w:val="44"/>
          <w:rFonts w:ascii="仿宋" w:hAnsi="仿宋" w:eastAsia="仿宋"/>
          <w:b/>
          <w:bCs/>
          <w:kern w:val="0"/>
        </w:rPr>
        <w:t>（四）公共服务项目用地的修正体系</w:t>
      </w:r>
      <w:r>
        <w:tab/>
      </w:r>
      <w:r>
        <w:fldChar w:fldCharType="begin"/>
      </w:r>
      <w:r>
        <w:instrText xml:space="preserve"> PAGEREF _Toc143875240 \h </w:instrText>
      </w:r>
      <w:r>
        <w:fldChar w:fldCharType="separate"/>
      </w:r>
      <w:r>
        <w:t>30</w:t>
      </w:r>
      <w:r>
        <w:fldChar w:fldCharType="end"/>
      </w:r>
      <w:r>
        <w:fldChar w:fldCharType="end"/>
      </w:r>
    </w:p>
    <w:p>
      <w:pPr>
        <w:pStyle w:val="27"/>
        <w:tabs>
          <w:tab w:val="right" w:leader="dot" w:pos="9017"/>
        </w:tabs>
        <w:ind w:firstLine="560"/>
        <w:rPr>
          <w:rFonts w:asciiTheme="minorHAnsi" w:hAnsiTheme="minorHAnsi" w:eastAsiaTheme="minorEastAsia" w:cstheme="minorBidi"/>
          <w:sz w:val="21"/>
          <w:szCs w:val="22"/>
        </w:rPr>
      </w:pPr>
      <w:r>
        <w:fldChar w:fldCharType="begin"/>
      </w:r>
      <w:r>
        <w:instrText xml:space="preserve"> HYPERLINK \l "_Toc143875241" </w:instrText>
      </w:r>
      <w:r>
        <w:fldChar w:fldCharType="separate"/>
      </w:r>
      <w:r>
        <w:rPr>
          <w:rStyle w:val="44"/>
          <w:rFonts w:ascii="黑体" w:hAnsi="黑体" w:eastAsia="黑体" w:cs="黑体"/>
        </w:rPr>
        <w:t>五、杭锦后旗头道桥镇基准地价成果应用建议</w:t>
      </w:r>
      <w:r>
        <w:tab/>
      </w:r>
      <w:r>
        <w:fldChar w:fldCharType="begin"/>
      </w:r>
      <w:r>
        <w:instrText xml:space="preserve"> PAGEREF _Toc143875241 \h </w:instrText>
      </w:r>
      <w:r>
        <w:fldChar w:fldCharType="separate"/>
      </w:r>
      <w:r>
        <w:t>41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"_Toc143875242" </w:instrText>
      </w:r>
      <w:r>
        <w:fldChar w:fldCharType="separate"/>
      </w:r>
      <w:r>
        <w:rPr>
          <w:rStyle w:val="44"/>
          <w:rFonts w:ascii="仿宋" w:hAnsi="仿宋" w:eastAsia="仿宋"/>
          <w:b/>
          <w:bCs/>
          <w:kern w:val="0"/>
        </w:rPr>
        <w:t>（一）杭锦后旗头道桥镇基准地价主要成果</w:t>
      </w:r>
      <w:r>
        <w:tab/>
      </w:r>
      <w:r>
        <w:fldChar w:fldCharType="begin"/>
      </w:r>
      <w:r>
        <w:instrText xml:space="preserve"> PAGEREF _Toc143875242 \h </w:instrText>
      </w:r>
      <w:r>
        <w:fldChar w:fldCharType="separate"/>
      </w:r>
      <w:r>
        <w:t>41</w:t>
      </w:r>
      <w:r>
        <w:fldChar w:fldCharType="end"/>
      </w:r>
      <w:r>
        <w:fldChar w:fldCharType="end"/>
      </w:r>
    </w:p>
    <w:p>
      <w:pPr>
        <w:pStyle w:val="32"/>
        <w:tabs>
          <w:tab w:val="right" w:leader="dot" w:pos="9017"/>
        </w:tabs>
        <w:ind w:left="560" w:firstLine="560"/>
        <w:rPr>
          <w:rFonts w:asciiTheme="minorHAnsi" w:hAnsiTheme="minorHAnsi" w:eastAsiaTheme="minorEastAsia" w:cstheme="minorBidi"/>
          <w:sz w:val="21"/>
          <w:szCs w:val="22"/>
        </w:rPr>
      </w:pPr>
      <w:r>
        <w:fldChar w:fldCharType="begin"/>
      </w:r>
      <w:r>
        <w:instrText xml:space="preserve"> HYPERLINK \l "_Toc143875243" </w:instrText>
      </w:r>
      <w:r>
        <w:fldChar w:fldCharType="separate"/>
      </w:r>
      <w:r>
        <w:rPr>
          <w:rStyle w:val="44"/>
          <w:rFonts w:ascii="仿宋" w:hAnsi="仿宋" w:eastAsia="仿宋"/>
          <w:b/>
          <w:bCs/>
          <w:kern w:val="0"/>
        </w:rPr>
        <w:t>（二）基准地价成果应用范围与方向</w:t>
      </w:r>
      <w:r>
        <w:tab/>
      </w:r>
      <w:r>
        <w:fldChar w:fldCharType="begin"/>
      </w:r>
      <w:r>
        <w:instrText xml:space="preserve"> PAGEREF _Toc143875243 \h </w:instrText>
      </w:r>
      <w:r>
        <w:fldChar w:fldCharType="separate"/>
      </w:r>
      <w:r>
        <w:t>42</w:t>
      </w:r>
      <w:r>
        <w:fldChar w:fldCharType="end"/>
      </w:r>
      <w:r>
        <w:fldChar w:fldCharType="end"/>
      </w:r>
    </w:p>
    <w:p>
      <w:pPr>
        <w:ind w:firstLine="560"/>
        <w:rPr>
          <w:rFonts w:ascii="宋体" w:hAnsi="宋体" w:eastAsia="宋体" w:cs="仿宋_GB2312"/>
        </w:rPr>
      </w:pPr>
      <w:r>
        <w:rPr>
          <w:rFonts w:hint="eastAsia" w:ascii="宋体" w:hAnsi="宋体" w:eastAsia="宋体" w:cs="仿宋_GB2312"/>
        </w:rPr>
        <w:fldChar w:fldCharType="end"/>
      </w:r>
    </w:p>
    <w:p>
      <w:pPr>
        <w:pStyle w:val="2"/>
        <w:ind w:firstLine="0" w:firstLineChars="0"/>
        <w:rPr>
          <w:rFonts w:ascii="仿宋_GB2312" w:hAnsi="仿宋_GB2312" w:eastAsia="仿宋_GB2312" w:cs="仿宋_GB2312"/>
        </w:rPr>
      </w:pPr>
    </w:p>
    <w:p>
      <w:pPr>
        <w:pStyle w:val="2"/>
        <w:ind w:firstLine="0" w:firstLineChars="0"/>
        <w:rPr>
          <w:rFonts w:ascii="仿宋_GB2312" w:hAnsi="仿宋_GB2312" w:eastAsia="仿宋_GB2312" w:cs="仿宋_GB2312"/>
        </w:rPr>
        <w:sectPr>
          <w:headerReference r:id="rId12" w:type="first"/>
          <w:footerReference r:id="rId14" w:type="first"/>
          <w:headerReference r:id="rId11" w:type="default"/>
          <w:footerReference r:id="rId13" w:type="default"/>
          <w:pgSz w:w="11907" w:h="16840"/>
          <w:pgMar w:top="1418" w:right="1440" w:bottom="1701" w:left="1440" w:header="794" w:footer="992" w:gutter="0"/>
          <w:pgNumType w:start="1"/>
          <w:cols w:space="720" w:num="1"/>
          <w:titlePg/>
          <w:docGrid w:type="lines" w:linePitch="381" w:charSpace="0"/>
        </w:sectPr>
      </w:pPr>
    </w:p>
    <w:p>
      <w:pPr>
        <w:pStyle w:val="20"/>
        <w:spacing w:before="312" w:beforeLines="100" w:after="312" w:afterLines="100"/>
        <w:ind w:firstLine="0" w:firstLineChars="0"/>
        <w:jc w:val="both"/>
        <w:outlineLvl w:val="0"/>
        <w:rPr>
          <w:rFonts w:ascii="黑体" w:hAnsi="黑体" w:eastAsia="黑体" w:cs="黑体"/>
          <w:sz w:val="32"/>
          <w:szCs w:val="32"/>
          <w:u w:color="000000"/>
        </w:rPr>
      </w:pPr>
      <w:r>
        <w:fldChar w:fldCharType="begin"/>
      </w:r>
      <w:r>
        <w:instrText xml:space="preserve"> HYPERLINK \l "_Toc440960176" </w:instrText>
      </w:r>
      <w:r>
        <w:fldChar w:fldCharType="separate"/>
      </w:r>
      <w:bookmarkStart w:id="15" w:name="_Toc143875226"/>
      <w:r>
        <w:rPr>
          <w:rFonts w:hint="eastAsia" w:ascii="黑体" w:hAnsi="黑体" w:eastAsia="黑体" w:cs="黑体"/>
          <w:sz w:val="32"/>
          <w:szCs w:val="32"/>
          <w:u w:color="000000"/>
        </w:rPr>
        <w:t>一、基准地价主要成果</w:t>
      </w:r>
      <w:bookmarkEnd w:id="15"/>
      <w:r>
        <w:rPr>
          <w:rFonts w:hint="eastAsia" w:ascii="黑体" w:hAnsi="黑体" w:eastAsia="黑体" w:cs="黑体"/>
          <w:sz w:val="32"/>
          <w:szCs w:val="32"/>
          <w:u w:color="000000"/>
        </w:rPr>
        <w:fldChar w:fldCharType="end"/>
      </w:r>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16" w:name="_Toc143875227"/>
      <w:r>
        <w:rPr>
          <w:rFonts w:hint="eastAsia" w:ascii="仿宋" w:hAnsi="仿宋" w:eastAsia="仿宋"/>
          <w:b/>
          <w:bCs/>
          <w:color w:val="000000"/>
          <w:kern w:val="0"/>
          <w:sz w:val="30"/>
          <w:szCs w:val="30"/>
          <w:u w:color="000000"/>
        </w:rPr>
        <w:t>（一）杭锦后旗头道桥镇土地定级成果</w:t>
      </w:r>
      <w:bookmarkEnd w:id="16"/>
    </w:p>
    <w:p>
      <w:pPr>
        <w:tabs>
          <w:tab w:val="left" w:pos="1483"/>
        </w:tabs>
        <w:ind w:firstLine="560"/>
        <w:rPr>
          <w:rFonts w:ascii="仿宋" w:hAnsi="仿宋" w:eastAsia="仿宋" w:cs="仿宋_GB2312"/>
        </w:rPr>
      </w:pPr>
      <w:r>
        <w:rPr>
          <w:rFonts w:ascii="仿宋" w:hAnsi="仿宋" w:eastAsia="仿宋" w:cs="仿宋_GB2312"/>
        </w:rPr>
        <w:t>本次</w:t>
      </w:r>
      <w:r>
        <w:rPr>
          <w:rFonts w:hint="eastAsia" w:ascii="仿宋" w:hAnsi="仿宋" w:eastAsia="仿宋" w:cs="仿宋_GB2312"/>
        </w:rPr>
        <w:t>杭锦后旗头道桥镇</w:t>
      </w:r>
      <w:r>
        <w:rPr>
          <w:rFonts w:ascii="仿宋" w:hAnsi="仿宋" w:eastAsia="仿宋" w:cs="仿宋_GB2312"/>
        </w:rPr>
        <w:t>土地定级与基准地价更新对象为</w:t>
      </w:r>
      <w:r>
        <w:rPr>
          <w:rFonts w:hint="eastAsia" w:ascii="仿宋" w:hAnsi="仿宋" w:eastAsia="仿宋" w:cs="仿宋_GB2312"/>
        </w:rPr>
        <w:t>头道桥镇</w:t>
      </w:r>
      <w:r>
        <w:rPr>
          <w:rFonts w:ascii="仿宋" w:hAnsi="仿宋" w:eastAsia="仿宋" w:cs="仿宋_GB2312"/>
        </w:rPr>
        <w:t>。</w:t>
      </w:r>
    </w:p>
    <w:p>
      <w:pPr>
        <w:ind w:firstLine="560"/>
        <w:jc w:val="both"/>
        <w:rPr>
          <w:rFonts w:ascii="仿宋" w:hAnsi="仿宋" w:eastAsia="仿宋"/>
          <w:szCs w:val="28"/>
        </w:rPr>
      </w:pPr>
      <w:r>
        <w:rPr>
          <w:rFonts w:hint="eastAsia" w:ascii="仿宋" w:hAnsi="仿宋" w:eastAsia="仿宋"/>
        </w:rPr>
        <w:t>根据《城镇土地分等定级规程》（GB/T18507-2014）和《城镇土地估价规程》（GB/T18508-2014）的要求：土地定级估价的对象是土地利用总体规划确定的可作为城镇建设用地使用的土地。城镇以外的独立工矿区、旅游区等用地可一同参与评定。</w:t>
      </w:r>
      <w:r>
        <w:rPr>
          <w:rFonts w:hint="eastAsia" w:ascii="仿宋" w:hAnsi="仿宋"/>
          <w:szCs w:val="28"/>
        </w:rPr>
        <w:t>根据《杭锦后旗国土空间总体规划（20</w:t>
      </w:r>
      <w:r>
        <w:rPr>
          <w:rFonts w:ascii="仿宋" w:hAnsi="仿宋"/>
          <w:szCs w:val="28"/>
        </w:rPr>
        <w:t>20</w:t>
      </w:r>
      <w:r>
        <w:rPr>
          <w:rFonts w:hint="eastAsia" w:ascii="仿宋" w:hAnsi="仿宋"/>
          <w:szCs w:val="28"/>
        </w:rPr>
        <w:t>-20</w:t>
      </w:r>
      <w:r>
        <w:rPr>
          <w:rFonts w:ascii="仿宋" w:hAnsi="仿宋"/>
          <w:szCs w:val="28"/>
        </w:rPr>
        <w:t>35</w:t>
      </w:r>
      <w:r>
        <w:rPr>
          <w:rFonts w:hint="eastAsia" w:ascii="仿宋" w:hAnsi="仿宋"/>
          <w:szCs w:val="28"/>
        </w:rPr>
        <w:t>年）》以及杭锦后旗城镇开发边界并结合头道桥镇现状及城镇规划特点，确定本次基准地价评估范围面积为</w:t>
      </w:r>
      <w:r>
        <w:rPr>
          <w:rFonts w:ascii="仿宋" w:hAnsi="仿宋"/>
          <w:szCs w:val="28"/>
        </w:rPr>
        <w:t>1.79</w:t>
      </w:r>
      <w:r>
        <w:rPr>
          <w:rFonts w:hint="eastAsia" w:ascii="仿宋" w:hAnsi="仿宋"/>
          <w:szCs w:val="28"/>
        </w:rPr>
        <w:t>平方公里，评价范围如下图：</w:t>
      </w:r>
    </w:p>
    <w:p>
      <w:pPr>
        <w:ind w:firstLine="0" w:firstLineChars="0"/>
        <w:jc w:val="center"/>
        <w:rPr>
          <w:rFonts w:ascii="仿宋" w:hAnsi="仿宋" w:eastAsia="仿宋"/>
          <w:szCs w:val="28"/>
        </w:rPr>
      </w:pPr>
      <w:r>
        <w:rPr>
          <w:rFonts w:ascii="仿宋" w:hAnsi="仿宋"/>
          <w:szCs w:val="28"/>
        </w:rPr>
        <w:drawing>
          <wp:inline distT="0" distB="0" distL="0" distR="0">
            <wp:extent cx="5238750" cy="3702685"/>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8"/>
                    <a:stretch>
                      <a:fillRect/>
                    </a:stretch>
                  </pic:blipFill>
                  <pic:spPr>
                    <a:xfrm>
                      <a:off x="0" y="0"/>
                      <a:ext cx="5238750" cy="3702685"/>
                    </a:xfrm>
                    <a:prstGeom prst="rect">
                      <a:avLst/>
                    </a:prstGeom>
                  </pic:spPr>
                </pic:pic>
              </a:graphicData>
            </a:graphic>
          </wp:inline>
        </w:drawing>
      </w:r>
    </w:p>
    <w:p>
      <w:pPr>
        <w:ind w:firstLine="0" w:firstLineChars="0"/>
        <w:jc w:val="center"/>
        <w:rPr>
          <w:rFonts w:ascii="仿宋" w:hAnsi="仿宋" w:eastAsia="仿宋"/>
          <w:b/>
          <w:sz w:val="24"/>
          <w:szCs w:val="24"/>
        </w:rPr>
      </w:pPr>
      <w:r>
        <w:rPr>
          <w:rFonts w:hint="eastAsia" w:ascii="仿宋" w:hAnsi="仿宋" w:eastAsia="仿宋"/>
          <w:b/>
          <w:sz w:val="24"/>
          <w:szCs w:val="24"/>
        </w:rPr>
        <w:t>图1-</w:t>
      </w:r>
      <w:r>
        <w:rPr>
          <w:rFonts w:ascii="仿宋" w:hAnsi="仿宋" w:eastAsia="仿宋"/>
          <w:b/>
          <w:sz w:val="24"/>
          <w:szCs w:val="24"/>
        </w:rPr>
        <w:t xml:space="preserve">1   </w:t>
      </w:r>
      <w:r>
        <w:rPr>
          <w:rFonts w:hint="eastAsia" w:ascii="仿宋" w:hAnsi="仿宋" w:eastAsia="仿宋"/>
          <w:b/>
          <w:sz w:val="24"/>
          <w:szCs w:val="24"/>
        </w:rPr>
        <w:t>头道桥镇基准地价评估范围示意图</w:t>
      </w:r>
    </w:p>
    <w:p>
      <w:pPr>
        <w:snapToGrid w:val="0"/>
        <w:ind w:firstLine="562"/>
        <w:jc w:val="both"/>
        <w:outlineLvl w:val="2"/>
        <w:rPr>
          <w:rFonts w:ascii="仿宋" w:hAnsi="仿宋" w:eastAsia="仿宋" w:cs="仿宋"/>
          <w:b/>
          <w:bCs/>
          <w:color w:val="000000"/>
          <w:kern w:val="0"/>
          <w:szCs w:val="28"/>
          <w:u w:color="000000"/>
        </w:rPr>
      </w:pPr>
      <w:bookmarkStart w:id="17" w:name="_Toc438149378"/>
      <w:bookmarkStart w:id="18" w:name="_Toc438149060"/>
      <w:r>
        <w:rPr>
          <w:rFonts w:hint="eastAsia" w:ascii="仿宋" w:hAnsi="仿宋" w:eastAsia="仿宋" w:cs="仿宋"/>
          <w:b/>
          <w:bCs/>
          <w:color w:val="000000"/>
          <w:kern w:val="0"/>
          <w:szCs w:val="28"/>
          <w:u w:color="000000"/>
        </w:rPr>
        <w:t>1、</w:t>
      </w:r>
      <w:r>
        <w:rPr>
          <w:rFonts w:ascii="仿宋" w:hAnsi="仿宋" w:eastAsia="仿宋" w:cs="仿宋"/>
          <w:b/>
          <w:bCs/>
          <w:color w:val="000000"/>
          <w:kern w:val="0"/>
          <w:szCs w:val="28"/>
          <w:u w:color="000000"/>
        </w:rPr>
        <w:t>土地级别</w:t>
      </w:r>
      <w:bookmarkEnd w:id="17"/>
      <w:bookmarkEnd w:id="18"/>
      <w:r>
        <w:rPr>
          <w:rFonts w:hint="eastAsia" w:ascii="仿宋" w:hAnsi="仿宋" w:eastAsia="仿宋" w:cs="仿宋"/>
          <w:b/>
          <w:bCs/>
          <w:color w:val="000000"/>
          <w:kern w:val="0"/>
          <w:szCs w:val="28"/>
          <w:u w:color="000000"/>
        </w:rPr>
        <w:t>描述</w:t>
      </w:r>
    </w:p>
    <w:p>
      <w:pPr>
        <w:spacing w:after="93" w:afterLines="30"/>
        <w:ind w:firstLine="560"/>
        <w:rPr>
          <w:rFonts w:ascii="仿宋" w:hAnsi="仿宋"/>
          <w:szCs w:val="28"/>
        </w:rPr>
      </w:pPr>
      <w:r>
        <w:rPr>
          <w:rFonts w:hint="eastAsia" w:ascii="仿宋" w:hAnsi="仿宋"/>
          <w:szCs w:val="28"/>
        </w:rPr>
        <w:t>Ⅰ级综合用地：</w:t>
      </w:r>
    </w:p>
    <w:p>
      <w:pPr>
        <w:spacing w:after="93" w:afterLines="30"/>
        <w:ind w:firstLine="560"/>
        <w:rPr>
          <w:rFonts w:ascii="仿宋" w:hAnsi="仿宋"/>
          <w:szCs w:val="28"/>
        </w:rPr>
      </w:pPr>
      <w:r>
        <w:rPr>
          <w:rFonts w:hint="eastAsia" w:ascii="仿宋" w:hAnsi="仿宋"/>
          <w:szCs w:val="28"/>
        </w:rPr>
        <w:t>北至评价范围北边界，南至头道桥镇中心小学南侧，西至东升商务宾馆西侧，东至头道桥镇中心小学东侧。Ⅰ级综合用地总面积为</w:t>
      </w:r>
      <w:r>
        <w:rPr>
          <w:rFonts w:ascii="仿宋" w:hAnsi="仿宋"/>
          <w:szCs w:val="28"/>
        </w:rPr>
        <w:t>21.82</w:t>
      </w:r>
      <w:r>
        <w:rPr>
          <w:rFonts w:hint="eastAsia" w:ascii="仿宋" w:hAnsi="仿宋"/>
          <w:szCs w:val="28"/>
        </w:rPr>
        <w:t>公顷，具体范围详见综合用地级别图。</w:t>
      </w:r>
    </w:p>
    <w:p>
      <w:pPr>
        <w:spacing w:after="93" w:afterLines="30"/>
        <w:ind w:firstLine="560"/>
        <w:rPr>
          <w:rFonts w:ascii="仿宋" w:hAnsi="仿宋"/>
          <w:szCs w:val="28"/>
        </w:rPr>
      </w:pPr>
      <w:r>
        <w:rPr>
          <w:rFonts w:hint="eastAsia" w:ascii="仿宋" w:hAnsi="仿宋"/>
          <w:szCs w:val="28"/>
        </w:rPr>
        <w:t>Ⅱ级综合用地：</w:t>
      </w:r>
    </w:p>
    <w:p>
      <w:pPr>
        <w:spacing w:after="93" w:afterLines="30"/>
        <w:ind w:firstLine="560"/>
        <w:rPr>
          <w:rFonts w:ascii="仿宋" w:hAnsi="仿宋"/>
          <w:szCs w:val="28"/>
        </w:rPr>
      </w:pPr>
      <w:r>
        <w:rPr>
          <w:rFonts w:hint="eastAsia" w:ascii="仿宋" w:hAnsi="仿宋"/>
          <w:szCs w:val="28"/>
        </w:rPr>
        <w:t>沿Ⅰ级用地向北、西、东、南四个方向扩展。北至评价范围北边界，南至评价范围南边界，西至联丰牧业东侧，东至头道桥镇人民政府东侧。Ⅱ级综合用地总面积为</w:t>
      </w:r>
      <w:r>
        <w:rPr>
          <w:rFonts w:ascii="仿宋" w:hAnsi="仿宋"/>
          <w:szCs w:val="28"/>
        </w:rPr>
        <w:t>51.08</w:t>
      </w:r>
      <w:r>
        <w:rPr>
          <w:rFonts w:hint="eastAsia" w:ascii="仿宋" w:hAnsi="仿宋"/>
          <w:szCs w:val="28"/>
        </w:rPr>
        <w:t>公顷，具体范围详见综合用地级别图。</w:t>
      </w:r>
    </w:p>
    <w:p>
      <w:pPr>
        <w:spacing w:after="93" w:afterLines="30"/>
        <w:ind w:firstLine="560"/>
        <w:rPr>
          <w:rFonts w:ascii="仿宋" w:hAnsi="仿宋"/>
          <w:szCs w:val="28"/>
        </w:rPr>
      </w:pPr>
      <w:r>
        <w:rPr>
          <w:rFonts w:hint="eastAsia" w:ascii="仿宋" w:hAnsi="仿宋"/>
          <w:szCs w:val="28"/>
        </w:rPr>
        <w:t>Ⅲ级综合用地：</w:t>
      </w:r>
    </w:p>
    <w:p>
      <w:pPr>
        <w:spacing w:after="93" w:afterLines="30"/>
        <w:ind w:firstLine="560"/>
        <w:rPr>
          <w:rFonts w:ascii="仿宋" w:hAnsi="仿宋"/>
          <w:szCs w:val="28"/>
        </w:rPr>
      </w:pPr>
      <w:r>
        <w:rPr>
          <w:rFonts w:hint="eastAsia" w:ascii="仿宋" w:hAnsi="仿宋"/>
          <w:szCs w:val="28"/>
        </w:rPr>
        <w:t>Ⅲ级综合用地建成区内Ⅱ级综合用地以外、定级范围以内的区域。Ⅲ级综合用地总面积为</w:t>
      </w:r>
      <w:r>
        <w:rPr>
          <w:rFonts w:ascii="仿宋" w:hAnsi="仿宋"/>
          <w:szCs w:val="28"/>
        </w:rPr>
        <w:t>106.38</w:t>
      </w:r>
      <w:r>
        <w:rPr>
          <w:rFonts w:hint="eastAsia" w:ascii="仿宋" w:hAnsi="仿宋"/>
          <w:szCs w:val="28"/>
        </w:rPr>
        <w:t>公顷，具体范围详见综合用地级别图。</w:t>
      </w:r>
    </w:p>
    <w:p>
      <w:pPr>
        <w:spacing w:after="93" w:afterLines="30"/>
        <w:ind w:firstLine="560"/>
        <w:rPr>
          <w:rFonts w:ascii="仿宋" w:hAnsi="仿宋"/>
          <w:szCs w:val="28"/>
        </w:rPr>
      </w:pPr>
      <w:r>
        <w:rPr>
          <w:rFonts w:hint="eastAsia" w:ascii="仿宋" w:hAnsi="仿宋"/>
          <w:szCs w:val="28"/>
        </w:rPr>
        <w:t>（2）头道桥镇商服用地级别描述</w:t>
      </w:r>
    </w:p>
    <w:p>
      <w:pPr>
        <w:spacing w:after="93" w:afterLines="30"/>
        <w:ind w:firstLine="560"/>
        <w:rPr>
          <w:rFonts w:ascii="仿宋" w:hAnsi="仿宋"/>
          <w:szCs w:val="28"/>
        </w:rPr>
      </w:pPr>
      <w:r>
        <w:rPr>
          <w:rFonts w:hint="eastAsia" w:ascii="仿宋" w:hAnsi="仿宋"/>
          <w:szCs w:val="28"/>
        </w:rPr>
        <w:t>Ⅰ级商服用地</w:t>
      </w:r>
    </w:p>
    <w:p>
      <w:pPr>
        <w:spacing w:after="93" w:afterLines="30"/>
        <w:ind w:firstLine="560"/>
        <w:rPr>
          <w:rFonts w:ascii="仿宋" w:hAnsi="仿宋"/>
          <w:szCs w:val="28"/>
        </w:rPr>
      </w:pPr>
      <w:r>
        <w:rPr>
          <w:rFonts w:hint="eastAsia" w:ascii="仿宋" w:hAnsi="仿宋"/>
          <w:szCs w:val="28"/>
        </w:rPr>
        <w:t>北至评价范围北边界南4</w:t>
      </w:r>
      <w:r>
        <w:rPr>
          <w:rFonts w:ascii="仿宋" w:hAnsi="仿宋"/>
          <w:szCs w:val="28"/>
        </w:rPr>
        <w:t>4</w:t>
      </w:r>
      <w:r>
        <w:rPr>
          <w:rFonts w:hint="eastAsia" w:ascii="仿宋" w:hAnsi="仿宋"/>
          <w:szCs w:val="28"/>
        </w:rPr>
        <w:t>米，南至头道桥中心小学南侧，西至陕坝农商银行东侧，东至纬七路。Ⅰ级商服用地总面积为</w:t>
      </w:r>
      <w:r>
        <w:rPr>
          <w:rFonts w:ascii="仿宋" w:hAnsi="仿宋"/>
          <w:szCs w:val="28"/>
        </w:rPr>
        <w:t>6.96</w:t>
      </w:r>
      <w:r>
        <w:rPr>
          <w:rFonts w:hint="eastAsia" w:ascii="仿宋" w:hAnsi="仿宋"/>
          <w:szCs w:val="28"/>
        </w:rPr>
        <w:t>公顷，具体范围详见商服用地级别图。</w:t>
      </w:r>
    </w:p>
    <w:p>
      <w:pPr>
        <w:spacing w:after="93" w:afterLines="30"/>
        <w:ind w:firstLine="560"/>
        <w:rPr>
          <w:rFonts w:ascii="仿宋" w:hAnsi="仿宋"/>
          <w:szCs w:val="28"/>
        </w:rPr>
      </w:pPr>
      <w:r>
        <w:rPr>
          <w:rFonts w:hint="eastAsia" w:ascii="仿宋" w:hAnsi="仿宋"/>
          <w:szCs w:val="28"/>
        </w:rPr>
        <w:t>Ⅱ级商服用地</w:t>
      </w:r>
    </w:p>
    <w:p>
      <w:pPr>
        <w:spacing w:after="93" w:afterLines="30"/>
        <w:ind w:firstLine="560"/>
        <w:rPr>
          <w:rFonts w:ascii="仿宋" w:hAnsi="仿宋"/>
          <w:szCs w:val="28"/>
        </w:rPr>
      </w:pPr>
      <w:r>
        <w:rPr>
          <w:rFonts w:hint="eastAsia" w:ascii="仿宋" w:hAnsi="仿宋"/>
          <w:szCs w:val="28"/>
        </w:rPr>
        <w:t>沿Ⅰ级用地向北、西、东、南四个方向扩展。北至评价范围北边界，南至评价范围南边界以北1</w:t>
      </w:r>
      <w:r>
        <w:rPr>
          <w:rFonts w:ascii="仿宋" w:hAnsi="仿宋"/>
          <w:szCs w:val="28"/>
        </w:rPr>
        <w:t>10</w:t>
      </w:r>
      <w:r>
        <w:rPr>
          <w:rFonts w:hint="eastAsia" w:ascii="仿宋" w:hAnsi="仿宋"/>
          <w:szCs w:val="28"/>
        </w:rPr>
        <w:t>米，西至经售松柏寿木西侧，东至潮格温都尔路东侧。Ⅱ级商服用地总面积为</w:t>
      </w:r>
      <w:r>
        <w:rPr>
          <w:rFonts w:ascii="仿宋" w:hAnsi="仿宋"/>
          <w:szCs w:val="28"/>
        </w:rPr>
        <w:t>46.14</w:t>
      </w:r>
      <w:r>
        <w:rPr>
          <w:rFonts w:hint="eastAsia" w:ascii="仿宋" w:hAnsi="仿宋"/>
          <w:szCs w:val="28"/>
        </w:rPr>
        <w:t>公顷，具体范围详见商服用地级别基图。</w:t>
      </w:r>
    </w:p>
    <w:p>
      <w:pPr>
        <w:spacing w:after="93" w:afterLines="30"/>
        <w:ind w:firstLine="560"/>
        <w:rPr>
          <w:rFonts w:ascii="仿宋" w:hAnsi="仿宋"/>
          <w:szCs w:val="28"/>
        </w:rPr>
      </w:pPr>
      <w:r>
        <w:rPr>
          <w:rFonts w:hint="eastAsia" w:ascii="仿宋" w:hAnsi="仿宋"/>
          <w:szCs w:val="28"/>
        </w:rPr>
        <w:t>Ⅲ级商服用地：</w:t>
      </w:r>
    </w:p>
    <w:p>
      <w:pPr>
        <w:spacing w:after="93" w:afterLines="30"/>
        <w:ind w:firstLine="560"/>
        <w:rPr>
          <w:rFonts w:ascii="仿宋" w:hAnsi="仿宋"/>
          <w:szCs w:val="28"/>
        </w:rPr>
      </w:pPr>
      <w:r>
        <w:rPr>
          <w:rFonts w:hint="eastAsia" w:ascii="仿宋" w:hAnsi="仿宋"/>
          <w:szCs w:val="28"/>
        </w:rPr>
        <w:t>Ⅲ级商服用地建成区内Ⅱ级商服用地以外、定级范围以内的区域，商服用地总面积为</w:t>
      </w:r>
      <w:r>
        <w:rPr>
          <w:rFonts w:ascii="仿宋" w:hAnsi="仿宋"/>
          <w:szCs w:val="28"/>
        </w:rPr>
        <w:t>126.18</w:t>
      </w:r>
      <w:r>
        <w:rPr>
          <w:rFonts w:hint="eastAsia" w:ascii="仿宋" w:hAnsi="仿宋"/>
          <w:szCs w:val="28"/>
        </w:rPr>
        <w:t>公顷，具体范围详见商服用地级别图。</w:t>
      </w:r>
    </w:p>
    <w:p>
      <w:pPr>
        <w:spacing w:after="93" w:afterLines="30"/>
        <w:ind w:firstLine="560"/>
        <w:rPr>
          <w:rFonts w:ascii="仿宋" w:hAnsi="仿宋"/>
          <w:szCs w:val="28"/>
        </w:rPr>
      </w:pPr>
      <w:r>
        <w:rPr>
          <w:rFonts w:hint="eastAsia" w:ascii="仿宋" w:hAnsi="仿宋"/>
          <w:szCs w:val="28"/>
        </w:rPr>
        <w:t>（3）头道桥镇住宅用地级别描述</w:t>
      </w:r>
    </w:p>
    <w:p>
      <w:pPr>
        <w:spacing w:after="93" w:afterLines="30"/>
        <w:ind w:firstLine="560"/>
        <w:rPr>
          <w:rFonts w:ascii="仿宋" w:hAnsi="仿宋"/>
          <w:szCs w:val="28"/>
        </w:rPr>
      </w:pPr>
      <w:r>
        <w:rPr>
          <w:rFonts w:hint="eastAsia" w:ascii="仿宋" w:hAnsi="仿宋"/>
          <w:szCs w:val="28"/>
        </w:rPr>
        <w:t>Ⅰ级地：</w:t>
      </w:r>
    </w:p>
    <w:p>
      <w:pPr>
        <w:spacing w:after="93" w:afterLines="30"/>
        <w:ind w:firstLine="560"/>
        <w:rPr>
          <w:rFonts w:ascii="仿宋" w:hAnsi="仿宋"/>
          <w:szCs w:val="28"/>
        </w:rPr>
      </w:pPr>
      <w:r>
        <w:rPr>
          <w:rFonts w:hint="eastAsia" w:ascii="仿宋" w:hAnsi="仿宋"/>
          <w:szCs w:val="28"/>
        </w:rPr>
        <w:t>北至评价范围北边界，南至头道桥中心小学，西至东升商务宾馆西侧，东至规划经八路。Ⅰ级住宅用地总面积为</w:t>
      </w:r>
      <w:r>
        <w:rPr>
          <w:rFonts w:ascii="仿宋" w:hAnsi="仿宋"/>
          <w:szCs w:val="28"/>
        </w:rPr>
        <w:t>30.52</w:t>
      </w:r>
      <w:r>
        <w:rPr>
          <w:rFonts w:hint="eastAsia" w:ascii="仿宋" w:hAnsi="仿宋"/>
          <w:szCs w:val="28"/>
        </w:rPr>
        <w:t>公顷，具体范围详见住宅用地级别图。</w:t>
      </w:r>
    </w:p>
    <w:p>
      <w:pPr>
        <w:spacing w:after="93" w:afterLines="30"/>
        <w:ind w:firstLine="560"/>
        <w:rPr>
          <w:rFonts w:ascii="仿宋" w:hAnsi="仿宋"/>
          <w:szCs w:val="28"/>
        </w:rPr>
      </w:pPr>
      <w:r>
        <w:rPr>
          <w:rFonts w:hint="eastAsia" w:ascii="仿宋" w:hAnsi="仿宋"/>
          <w:szCs w:val="28"/>
        </w:rPr>
        <w:t>Ⅱ级地：</w:t>
      </w:r>
    </w:p>
    <w:p>
      <w:pPr>
        <w:spacing w:after="93" w:afterLines="30"/>
        <w:ind w:firstLine="560"/>
        <w:rPr>
          <w:rFonts w:ascii="仿宋" w:hAnsi="仿宋"/>
          <w:szCs w:val="28"/>
        </w:rPr>
      </w:pPr>
      <w:r>
        <w:rPr>
          <w:rFonts w:hint="eastAsia" w:ascii="仿宋" w:hAnsi="仿宋"/>
          <w:szCs w:val="28"/>
        </w:rPr>
        <w:t>沿Ⅰ级用地向北、西、东、南四个方向扩展。北至评价范围北边界，南至评价范围南边界，西至规划经二路，东至规划经八路。Ⅱ级住宅用地总面积为</w:t>
      </w:r>
      <w:r>
        <w:rPr>
          <w:rFonts w:ascii="仿宋" w:hAnsi="仿宋"/>
          <w:szCs w:val="28"/>
        </w:rPr>
        <w:t>44.9</w:t>
      </w:r>
      <w:r>
        <w:rPr>
          <w:rFonts w:hint="eastAsia" w:ascii="仿宋" w:hAnsi="仿宋"/>
          <w:szCs w:val="28"/>
        </w:rPr>
        <w:t>公顷，具体范围详见住宅用地土地级别图。</w:t>
      </w:r>
    </w:p>
    <w:p>
      <w:pPr>
        <w:spacing w:after="93" w:afterLines="30"/>
        <w:ind w:firstLine="560"/>
        <w:rPr>
          <w:rFonts w:ascii="仿宋" w:hAnsi="仿宋"/>
          <w:szCs w:val="28"/>
        </w:rPr>
      </w:pPr>
      <w:r>
        <w:rPr>
          <w:rFonts w:hint="eastAsia" w:ascii="仿宋" w:hAnsi="仿宋"/>
          <w:szCs w:val="28"/>
        </w:rPr>
        <w:t>Ⅲ级地：</w:t>
      </w:r>
    </w:p>
    <w:p>
      <w:pPr>
        <w:spacing w:after="93" w:afterLines="30"/>
        <w:ind w:firstLine="560"/>
        <w:rPr>
          <w:rFonts w:ascii="仿宋" w:hAnsi="仿宋"/>
          <w:szCs w:val="28"/>
        </w:rPr>
      </w:pPr>
      <w:r>
        <w:rPr>
          <w:rFonts w:hint="eastAsia" w:ascii="仿宋" w:hAnsi="仿宋"/>
          <w:szCs w:val="28"/>
        </w:rPr>
        <w:t>Ⅰ级、Ⅱ级用地以外、定级范围以内的区域。Ⅲ级住宅用地总面积为</w:t>
      </w:r>
      <w:r>
        <w:rPr>
          <w:rFonts w:ascii="仿宋" w:hAnsi="仿宋"/>
          <w:szCs w:val="28"/>
        </w:rPr>
        <w:t>103.86</w:t>
      </w:r>
      <w:r>
        <w:rPr>
          <w:rFonts w:hint="eastAsia" w:ascii="仿宋" w:hAnsi="仿宋"/>
          <w:szCs w:val="28"/>
        </w:rPr>
        <w:t>公顷，具体范围详见住宅用地土地级别图。</w:t>
      </w:r>
    </w:p>
    <w:p>
      <w:pPr>
        <w:spacing w:after="93" w:afterLines="30"/>
        <w:ind w:firstLine="560"/>
        <w:rPr>
          <w:rFonts w:ascii="仿宋" w:hAnsi="仿宋"/>
          <w:szCs w:val="28"/>
        </w:rPr>
      </w:pPr>
      <w:r>
        <w:rPr>
          <w:rFonts w:hint="eastAsia" w:ascii="仿宋" w:hAnsi="仿宋"/>
          <w:szCs w:val="28"/>
        </w:rPr>
        <w:t>（4）头道桥镇工业用地</w:t>
      </w:r>
    </w:p>
    <w:p>
      <w:pPr>
        <w:spacing w:after="93" w:afterLines="30"/>
        <w:ind w:firstLine="560"/>
        <w:rPr>
          <w:rFonts w:ascii="仿宋" w:hAnsi="仿宋"/>
          <w:szCs w:val="28"/>
        </w:rPr>
      </w:pPr>
      <w:r>
        <w:rPr>
          <w:rFonts w:hint="eastAsia" w:ascii="仿宋" w:hAnsi="仿宋"/>
          <w:szCs w:val="28"/>
        </w:rPr>
        <w:t>Ⅰ级地：</w:t>
      </w:r>
    </w:p>
    <w:p>
      <w:pPr>
        <w:spacing w:after="93" w:afterLines="30"/>
        <w:ind w:firstLine="560"/>
        <w:rPr>
          <w:rFonts w:ascii="仿宋" w:hAnsi="仿宋"/>
          <w:szCs w:val="28"/>
        </w:rPr>
      </w:pPr>
      <w:r>
        <w:rPr>
          <w:rFonts w:hint="eastAsia" w:ascii="仿宋" w:hAnsi="仿宋"/>
          <w:szCs w:val="28"/>
        </w:rPr>
        <w:t>北至评价范围北边界，南获评价范围南边界，西至规划经二路，东至规划经七路东侧。Ⅰ级工业用地总面积为</w:t>
      </w:r>
      <w:r>
        <w:rPr>
          <w:rFonts w:ascii="仿宋" w:hAnsi="仿宋"/>
          <w:szCs w:val="28"/>
        </w:rPr>
        <w:t>70.27</w:t>
      </w:r>
      <w:r>
        <w:rPr>
          <w:rFonts w:hint="eastAsia" w:ascii="仿宋" w:hAnsi="仿宋"/>
          <w:szCs w:val="28"/>
        </w:rPr>
        <w:t>公顷，具体范围详见工业用地级别图。</w:t>
      </w:r>
    </w:p>
    <w:p>
      <w:pPr>
        <w:spacing w:after="93" w:afterLines="30"/>
        <w:ind w:firstLine="560"/>
        <w:rPr>
          <w:rFonts w:ascii="仿宋" w:hAnsi="仿宋"/>
          <w:szCs w:val="28"/>
        </w:rPr>
      </w:pPr>
      <w:r>
        <w:rPr>
          <w:rFonts w:hint="eastAsia" w:ascii="仿宋" w:hAnsi="仿宋"/>
          <w:szCs w:val="28"/>
        </w:rPr>
        <w:t>Ⅱ级地：</w:t>
      </w:r>
    </w:p>
    <w:p>
      <w:pPr>
        <w:snapToGrid w:val="0"/>
        <w:ind w:firstLine="560"/>
        <w:jc w:val="both"/>
        <w:rPr>
          <w:rFonts w:ascii="仿宋" w:hAnsi="仿宋" w:eastAsia="仿宋" w:cs="仿宋"/>
          <w:szCs w:val="28"/>
        </w:rPr>
      </w:pPr>
      <w:r>
        <w:rPr>
          <w:rFonts w:hint="eastAsia" w:ascii="仿宋" w:hAnsi="仿宋"/>
          <w:szCs w:val="28"/>
        </w:rPr>
        <w:t>Ⅰ级用地以外、定级范围以内的区域。Ⅱ级工业用地总面积为</w:t>
      </w:r>
      <w:r>
        <w:rPr>
          <w:rFonts w:ascii="仿宋" w:hAnsi="仿宋"/>
          <w:szCs w:val="28"/>
        </w:rPr>
        <w:t>109.01</w:t>
      </w:r>
      <w:r>
        <w:rPr>
          <w:rFonts w:hint="eastAsia" w:ascii="仿宋" w:hAnsi="仿宋"/>
          <w:szCs w:val="28"/>
        </w:rPr>
        <w:t>公顷，具体范围详见工业用地级别图。</w:t>
      </w:r>
    </w:p>
    <w:p>
      <w:pPr>
        <w:snapToGrid w:val="0"/>
        <w:ind w:firstLine="560"/>
        <w:jc w:val="both"/>
        <w:rPr>
          <w:rFonts w:ascii="仿宋" w:hAnsi="仿宋" w:eastAsia="仿宋" w:cs="仿宋"/>
          <w:szCs w:val="28"/>
        </w:rPr>
      </w:pPr>
      <w:r>
        <w:rPr>
          <w:rFonts w:hint="eastAsia" w:ascii="仿宋" w:hAnsi="仿宋" w:eastAsia="仿宋" w:cs="仿宋"/>
          <w:szCs w:val="28"/>
        </w:rPr>
        <w:t>（5）公共服务项目用地</w:t>
      </w:r>
    </w:p>
    <w:p>
      <w:pPr>
        <w:snapToGrid w:val="0"/>
        <w:ind w:firstLine="560"/>
        <w:jc w:val="both"/>
        <w:rPr>
          <w:rFonts w:ascii="仿宋" w:hAnsi="仿宋" w:eastAsia="仿宋" w:cs="仿宋"/>
          <w:szCs w:val="28"/>
        </w:rPr>
      </w:pPr>
      <w:r>
        <w:rPr>
          <w:rFonts w:hint="eastAsia" w:ascii="仿宋" w:hAnsi="仿宋" w:eastAsia="仿宋" w:cs="仿宋"/>
          <w:szCs w:val="28"/>
        </w:rPr>
        <w:t>将公共服务用地项目分为两个部分，一部分直接采用工业用地定级成果，包括能源、环境保护、供水、燃气供应、供热设施，另一部分直接采用住宅用地定级成果，包括保障性安居工程、养老、教育、文化和体育用地。</w:t>
      </w:r>
    </w:p>
    <w:p>
      <w:pPr>
        <w:snapToGrid w:val="0"/>
        <w:ind w:firstLine="560"/>
        <w:jc w:val="both"/>
        <w:rPr>
          <w:rFonts w:ascii="仿宋" w:hAnsi="仿宋" w:eastAsia="仿宋" w:cs="仿宋"/>
          <w:color w:val="000000"/>
          <w:szCs w:val="28"/>
        </w:rPr>
      </w:pPr>
      <w:r>
        <w:rPr>
          <w:rFonts w:hint="eastAsia" w:ascii="仿宋" w:hAnsi="仿宋" w:eastAsia="仿宋" w:cs="仿宋"/>
          <w:color w:val="000000"/>
          <w:szCs w:val="28"/>
        </w:rPr>
        <w:t>下图为头道桥镇各类用地土地级别与面积量算表。</w:t>
      </w:r>
    </w:p>
    <w:p>
      <w:pPr>
        <w:tabs>
          <w:tab w:val="left" w:pos="2295"/>
          <w:tab w:val="center" w:pos="4394"/>
        </w:tabs>
        <w:snapToGrid w:val="0"/>
        <w:ind w:firstLine="0" w:firstLineChars="0"/>
        <w:jc w:val="center"/>
        <w:rPr>
          <w:rFonts w:ascii="仿宋" w:hAnsi="仿宋" w:eastAsia="仿宋" w:cs="仿宋"/>
          <w:color w:val="000000"/>
          <w:szCs w:val="28"/>
          <w:vertAlign w:val="superscript"/>
        </w:rPr>
      </w:pPr>
      <w:r>
        <w:rPr>
          <w:rFonts w:hint="eastAsia" w:ascii="仿宋" w:hAnsi="仿宋" w:eastAsia="仿宋" w:cs="仿宋"/>
          <w:b/>
          <w:sz w:val="24"/>
          <w:szCs w:val="24"/>
        </w:rPr>
        <w:t xml:space="preserve">表1-1    </w:t>
      </w:r>
      <w:r>
        <w:rPr>
          <w:rFonts w:hint="eastAsia" w:ascii="仿宋" w:hAnsi="仿宋" w:eastAsia="仿宋" w:cs="仿宋"/>
          <w:b/>
          <w:color w:val="000000"/>
          <w:sz w:val="24"/>
          <w:szCs w:val="24"/>
        </w:rPr>
        <w:t>头道桥镇各类用地土地级别面积汇总表</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2110"/>
        <w:gridCol w:w="1625"/>
        <w:gridCol w:w="2052"/>
        <w:gridCol w:w="3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土地用途</w:t>
            </w: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土地级别</w:t>
            </w:r>
          </w:p>
        </w:tc>
        <w:tc>
          <w:tcPr>
            <w:tcW w:w="1137"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面积（公顷）</w:t>
            </w:r>
          </w:p>
        </w:tc>
        <w:tc>
          <w:tcPr>
            <w:tcW w:w="1794"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占评估区总面积的比例（%）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综合用地</w:t>
            </w: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1137"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21.82</w:t>
            </w:r>
          </w:p>
        </w:tc>
        <w:tc>
          <w:tcPr>
            <w:tcW w:w="1794"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12.17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1137"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51.08</w:t>
            </w:r>
          </w:p>
        </w:tc>
        <w:tc>
          <w:tcPr>
            <w:tcW w:w="1794"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28.49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Ⅲ</w:t>
            </w:r>
          </w:p>
        </w:tc>
        <w:tc>
          <w:tcPr>
            <w:tcW w:w="1137"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106.38</w:t>
            </w:r>
          </w:p>
        </w:tc>
        <w:tc>
          <w:tcPr>
            <w:tcW w:w="1794"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59.34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商服用地</w:t>
            </w: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6.96</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3.88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1169"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46.14</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25.74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Ⅲ</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126.18</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70.38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69"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住宅用地</w:t>
            </w: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30.52</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17.02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44.9</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25.04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bottom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Ⅲ</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103.86</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57.93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69" w:type="pct"/>
            <w:vMerge w:val="restart"/>
            <w:tcBorders>
              <w:top w:val="single" w:color="auto" w:sz="4" w:space="0"/>
              <w:left w:val="single" w:color="auto" w:sz="4" w:space="0"/>
              <w:right w:val="single" w:color="auto" w:sz="4" w:space="0"/>
            </w:tcBorders>
            <w:vAlign w:val="center"/>
          </w:tcPr>
          <w:p>
            <w:pPr>
              <w:pStyle w:val="48"/>
              <w:widowControl w:val="0"/>
              <w:rPr>
                <w:rFonts w:ascii="仿宋" w:hAnsi="仿宋" w:eastAsia="仿宋" w:cs="仿宋"/>
                <w:sz w:val="24"/>
                <w:szCs w:val="24"/>
              </w:rPr>
            </w:pPr>
            <w:r>
              <w:rPr>
                <w:rFonts w:hint="eastAsia" w:ascii="仿宋" w:hAnsi="仿宋" w:eastAsia="仿宋" w:cs="仿宋"/>
                <w:sz w:val="24"/>
                <w:szCs w:val="24"/>
              </w:rPr>
              <w:t>工业用地</w:t>
            </w: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Ⅰ</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70.27</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39.20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4" w:hRule="atLeast"/>
          <w:jc w:val="center"/>
        </w:trPr>
        <w:tc>
          <w:tcPr>
            <w:tcW w:w="1169" w:type="pct"/>
            <w:vMerge w:val="continue"/>
            <w:tcBorders>
              <w:left w:val="single" w:color="auto" w:sz="4" w:space="0"/>
              <w:right w:val="single" w:color="auto" w:sz="4" w:space="0"/>
            </w:tcBorders>
            <w:vAlign w:val="center"/>
          </w:tcPr>
          <w:p>
            <w:pPr>
              <w:pStyle w:val="48"/>
              <w:widowControl w:val="0"/>
              <w:rPr>
                <w:rFonts w:ascii="仿宋" w:hAnsi="仿宋" w:eastAsia="仿宋" w:cs="仿宋"/>
                <w:sz w:val="24"/>
                <w:szCs w:val="24"/>
              </w:rPr>
            </w:pPr>
          </w:p>
        </w:tc>
        <w:tc>
          <w:tcPr>
            <w:tcW w:w="900" w:type="pct"/>
            <w:tcBorders>
              <w:top w:val="single" w:color="auto" w:sz="4" w:space="0"/>
              <w:left w:val="single" w:color="auto" w:sz="4" w:space="0"/>
              <w:bottom w:val="single" w:color="auto" w:sz="4" w:space="0"/>
              <w:right w:val="single" w:color="auto" w:sz="4" w:space="0"/>
            </w:tcBorders>
            <w:vAlign w:val="center"/>
          </w:tcPr>
          <w:p>
            <w:pPr>
              <w:pStyle w:val="48"/>
              <w:widowControl w:val="0"/>
              <w:rPr>
                <w:rFonts w:ascii="Times New Roman" w:hAnsi="Times New Roman" w:eastAsia="仿宋"/>
                <w:sz w:val="24"/>
                <w:szCs w:val="24"/>
              </w:rPr>
            </w:pPr>
            <w:r>
              <w:rPr>
                <w:rFonts w:ascii="Times New Roman" w:hAnsi="Times New Roman" w:eastAsia="仿宋"/>
                <w:sz w:val="24"/>
                <w:szCs w:val="24"/>
              </w:rPr>
              <w:t>Ⅱ</w:t>
            </w:r>
          </w:p>
        </w:tc>
        <w:tc>
          <w:tcPr>
            <w:tcW w:w="1137"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textAlignment w:val="center"/>
              <w:rPr>
                <w:rFonts w:eastAsia="仿宋"/>
                <w:sz w:val="24"/>
                <w:szCs w:val="24"/>
              </w:rPr>
            </w:pPr>
            <w:r>
              <w:rPr>
                <w:rFonts w:eastAsia="仿宋"/>
                <w:sz w:val="24"/>
                <w:szCs w:val="24"/>
                <w:lang w:bidi="ar"/>
              </w:rPr>
              <w:t>109.01</w:t>
            </w:r>
          </w:p>
        </w:tc>
        <w:tc>
          <w:tcPr>
            <w:tcW w:w="179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仿宋"/>
                <w:sz w:val="24"/>
                <w:szCs w:val="24"/>
              </w:rPr>
            </w:pPr>
            <w:r>
              <w:rPr>
                <w:rFonts w:eastAsia="仿宋"/>
                <w:sz w:val="24"/>
                <w:szCs w:val="24"/>
              </w:rPr>
              <w:t>60.80</w:t>
            </w:r>
          </w:p>
        </w:tc>
      </w:tr>
    </w:tbl>
    <w:p>
      <w:pPr>
        <w:spacing w:before="156" w:beforeLines="50" w:after="156" w:afterLines="50"/>
        <w:ind w:firstLine="602"/>
        <w:jc w:val="both"/>
        <w:outlineLvl w:val="1"/>
        <w:rPr>
          <w:rFonts w:ascii="仿宋" w:hAnsi="仿宋" w:eastAsia="仿宋"/>
          <w:b/>
          <w:bCs/>
          <w:color w:val="000000"/>
          <w:kern w:val="0"/>
          <w:sz w:val="30"/>
          <w:szCs w:val="30"/>
          <w:u w:color="000000"/>
        </w:rPr>
      </w:pPr>
      <w:bookmarkStart w:id="19" w:name="_Toc143875228"/>
      <w:r>
        <w:rPr>
          <w:rFonts w:hint="eastAsia" w:ascii="仿宋" w:hAnsi="仿宋" w:eastAsia="仿宋"/>
          <w:b/>
          <w:bCs/>
          <w:color w:val="000000"/>
          <w:kern w:val="0"/>
          <w:sz w:val="30"/>
          <w:szCs w:val="30"/>
          <w:u w:color="000000"/>
        </w:rPr>
        <w:t>（二）杭锦后旗头道桥镇</w:t>
      </w:r>
      <w:r>
        <w:rPr>
          <w:rFonts w:ascii="仿宋" w:hAnsi="仿宋" w:eastAsia="仿宋"/>
          <w:b/>
          <w:bCs/>
          <w:color w:val="000000"/>
          <w:kern w:val="0"/>
          <w:sz w:val="30"/>
          <w:szCs w:val="30"/>
          <w:u w:color="000000"/>
        </w:rPr>
        <w:t>各类用地级别基准地价</w:t>
      </w:r>
      <w:bookmarkEnd w:id="19"/>
    </w:p>
    <w:p>
      <w:pPr>
        <w:ind w:firstLine="560"/>
        <w:jc w:val="both"/>
        <w:rPr>
          <w:rFonts w:ascii="仿宋" w:hAnsi="仿宋" w:eastAsia="仿宋"/>
        </w:rPr>
      </w:pPr>
      <w:r>
        <w:rPr>
          <w:rFonts w:ascii="仿宋" w:hAnsi="仿宋" w:eastAsia="仿宋"/>
        </w:rPr>
        <w:t>本轮基准地价更新范围为</w:t>
      </w:r>
      <w:r>
        <w:rPr>
          <w:rFonts w:hint="eastAsia" w:ascii="仿宋" w:hAnsi="仿宋" w:eastAsia="仿宋"/>
        </w:rPr>
        <w:t>杭锦后旗头道桥镇内</w:t>
      </w:r>
      <w:r>
        <w:rPr>
          <w:rFonts w:ascii="仿宋" w:hAnsi="仿宋" w:eastAsia="仿宋"/>
        </w:rPr>
        <w:t>1.79平方公里。工作项目组在对</w:t>
      </w:r>
      <w:r>
        <w:rPr>
          <w:rFonts w:hint="eastAsia" w:ascii="仿宋" w:hAnsi="仿宋" w:eastAsia="仿宋"/>
        </w:rPr>
        <w:t>头道桥镇</w:t>
      </w:r>
      <w:r>
        <w:rPr>
          <w:rFonts w:ascii="仿宋" w:hAnsi="仿宋" w:eastAsia="仿宋"/>
        </w:rPr>
        <w:t>本轮土地级别及基准地价更新时，采用</w:t>
      </w:r>
      <w:r>
        <w:rPr>
          <w:rFonts w:hint="eastAsia" w:ascii="仿宋" w:hAnsi="仿宋" w:eastAsia="仿宋"/>
        </w:rPr>
        <w:t>综合因素定级法用网格进行</w:t>
      </w:r>
      <w:r>
        <w:rPr>
          <w:rFonts w:ascii="仿宋" w:hAnsi="仿宋" w:eastAsia="仿宋"/>
        </w:rPr>
        <w:t>土地级别划分，最终确定</w:t>
      </w:r>
      <w:r>
        <w:rPr>
          <w:rFonts w:hint="eastAsia" w:ascii="仿宋" w:hAnsi="仿宋" w:eastAsia="仿宋"/>
        </w:rPr>
        <w:t>头道桥镇商服、住宅用地3个级别，工业用地2个级别</w:t>
      </w:r>
      <w:r>
        <w:rPr>
          <w:rFonts w:ascii="仿宋" w:hAnsi="仿宋" w:eastAsia="仿宋"/>
        </w:rPr>
        <w:t>，并测算出各类用地不同级别的基准地价。</w:t>
      </w:r>
    </w:p>
    <w:p>
      <w:pPr>
        <w:ind w:firstLine="0" w:firstLineChars="0"/>
        <w:jc w:val="center"/>
        <w:rPr>
          <w:rFonts w:ascii="仿宋" w:hAnsi="仿宋" w:eastAsia="仿宋"/>
          <w:b/>
          <w:bCs/>
          <w:sz w:val="24"/>
          <w:szCs w:val="24"/>
        </w:rPr>
      </w:pPr>
      <w:r>
        <w:rPr>
          <w:rFonts w:hint="eastAsia" w:ascii="仿宋" w:hAnsi="仿宋" w:eastAsia="仿宋" w:cs="宋体"/>
          <w:b/>
          <w:sz w:val="24"/>
          <w:szCs w:val="24"/>
        </w:rPr>
        <w:t xml:space="preserve">表1-2  </w:t>
      </w:r>
      <w:r>
        <w:rPr>
          <w:rFonts w:hint="eastAsia" w:ascii="仿宋" w:hAnsi="仿宋" w:eastAsia="仿宋"/>
          <w:b/>
          <w:bCs/>
          <w:sz w:val="24"/>
          <w:szCs w:val="24"/>
        </w:rPr>
        <w:t>头道桥镇</w:t>
      </w:r>
      <w:r>
        <w:rPr>
          <w:rFonts w:ascii="仿宋" w:hAnsi="仿宋" w:eastAsia="仿宋"/>
          <w:b/>
          <w:bCs/>
          <w:sz w:val="24"/>
          <w:szCs w:val="24"/>
        </w:rPr>
        <w:t>商服、住宅</w:t>
      </w:r>
      <w:r>
        <w:rPr>
          <w:rFonts w:hint="eastAsia" w:ascii="仿宋" w:hAnsi="仿宋" w:eastAsia="仿宋"/>
          <w:b/>
          <w:bCs/>
          <w:sz w:val="24"/>
          <w:szCs w:val="24"/>
        </w:rPr>
        <w:t>、</w:t>
      </w:r>
      <w:r>
        <w:rPr>
          <w:rFonts w:ascii="仿宋" w:hAnsi="仿宋" w:eastAsia="仿宋"/>
          <w:b/>
          <w:bCs/>
          <w:sz w:val="24"/>
          <w:szCs w:val="24"/>
        </w:rPr>
        <w:t>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9"/>
        <w:gridCol w:w="1135"/>
        <w:gridCol w:w="1137"/>
        <w:gridCol w:w="1136"/>
        <w:gridCol w:w="1137"/>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restart"/>
            <w:tcBorders>
              <w:tl2br w:val="single" w:color="auto" w:sz="4" w:space="0"/>
            </w:tcBorders>
            <w:vAlign w:val="center"/>
          </w:tcPr>
          <w:p>
            <w:pPr>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2272"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商服用地地价</w:t>
            </w:r>
          </w:p>
        </w:tc>
        <w:tc>
          <w:tcPr>
            <w:tcW w:w="2273"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住宅用地地价</w:t>
            </w:r>
          </w:p>
        </w:tc>
        <w:tc>
          <w:tcPr>
            <w:tcW w:w="2271"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continue"/>
            <w:vAlign w:val="center"/>
          </w:tcPr>
          <w:p>
            <w:pPr>
              <w:ind w:firstLine="0" w:firstLineChars="0"/>
              <w:jc w:val="center"/>
              <w:rPr>
                <w:rFonts w:ascii="仿宋" w:hAnsi="仿宋" w:eastAsia="仿宋" w:cs="仿宋"/>
                <w:color w:val="000000"/>
                <w:kern w:val="0"/>
                <w:sz w:val="24"/>
                <w:szCs w:val="24"/>
                <w:u w:color="000000"/>
              </w:rPr>
            </w:pP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170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11.33 </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150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10.00 </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color w:val="000000"/>
                <w:sz w:val="24"/>
              </w:rPr>
              <w:t>95</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color w:val="000000"/>
                <w:sz w:val="24"/>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145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9.67 </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color w:val="000000"/>
                <w:sz w:val="24"/>
              </w:rPr>
              <w:t>125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宋体" w:hAnsi="宋体"/>
                <w:color w:val="000000"/>
                <w:sz w:val="24"/>
              </w:rPr>
              <w:t>8.33</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85</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125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8.33 </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95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宋体" w:hAnsi="宋体"/>
                <w:color w:val="000000"/>
                <w:sz w:val="24"/>
              </w:rPr>
              <w:t xml:space="preserve">6.33 </w:t>
            </w:r>
          </w:p>
        </w:tc>
        <w:tc>
          <w:tcPr>
            <w:tcW w:w="1137" w:type="dxa"/>
            <w:vAlign w:val="center"/>
          </w:tcPr>
          <w:p>
            <w:pPr>
              <w:ind w:firstLine="0" w:firstLineChars="0"/>
              <w:jc w:val="center"/>
              <w:rPr>
                <w:rFonts w:ascii="仿宋" w:hAnsi="仿宋" w:eastAsia="仿宋" w:cs="仿宋"/>
                <w:color w:val="000000"/>
                <w:kern w:val="0"/>
                <w:sz w:val="24"/>
                <w:szCs w:val="24"/>
                <w:u w:color="000000"/>
              </w:rPr>
            </w:pPr>
          </w:p>
        </w:tc>
        <w:tc>
          <w:tcPr>
            <w:tcW w:w="1134" w:type="dxa"/>
            <w:vAlign w:val="center"/>
          </w:tcPr>
          <w:p>
            <w:pPr>
              <w:ind w:firstLine="0" w:firstLineChars="0"/>
              <w:jc w:val="center"/>
              <w:rPr>
                <w:rFonts w:ascii="仿宋" w:hAnsi="仿宋" w:eastAsia="仿宋" w:cs="仿宋"/>
                <w:color w:val="000000"/>
                <w:kern w:val="0"/>
                <w:sz w:val="24"/>
                <w:szCs w:val="24"/>
                <w:u w:color="000000"/>
              </w:rPr>
            </w:pPr>
          </w:p>
        </w:tc>
      </w:tr>
    </w:tbl>
    <w:p>
      <w:pPr>
        <w:spacing w:before="156" w:beforeLines="50" w:after="156" w:afterLines="50"/>
        <w:ind w:firstLine="602"/>
        <w:jc w:val="both"/>
        <w:outlineLvl w:val="1"/>
        <w:rPr>
          <w:rFonts w:ascii="仿宋" w:hAnsi="仿宋" w:eastAsia="仿宋"/>
          <w:b/>
          <w:bCs/>
          <w:color w:val="000000"/>
          <w:kern w:val="0"/>
          <w:sz w:val="30"/>
          <w:szCs w:val="30"/>
          <w:u w:color="000000"/>
        </w:rPr>
      </w:pPr>
      <w:bookmarkStart w:id="20" w:name="_Toc143875229"/>
      <w:r>
        <w:rPr>
          <w:rFonts w:hint="eastAsia" w:ascii="仿宋" w:hAnsi="仿宋" w:eastAsia="仿宋"/>
          <w:b/>
          <w:bCs/>
          <w:color w:val="000000"/>
          <w:kern w:val="0"/>
          <w:sz w:val="30"/>
          <w:szCs w:val="30"/>
          <w:u w:color="000000"/>
        </w:rPr>
        <w:t>（三）</w:t>
      </w:r>
      <w:r>
        <w:rPr>
          <w:rFonts w:ascii="仿宋" w:hAnsi="仿宋" w:eastAsia="仿宋"/>
          <w:b/>
          <w:bCs/>
          <w:color w:val="000000"/>
          <w:kern w:val="0"/>
          <w:sz w:val="30"/>
          <w:szCs w:val="30"/>
          <w:u w:color="000000"/>
        </w:rPr>
        <w:t>基准地价内涵说明</w:t>
      </w:r>
      <w:bookmarkEnd w:id="20"/>
    </w:p>
    <w:p>
      <w:pPr>
        <w:ind w:firstLine="560"/>
        <w:jc w:val="both"/>
        <w:rPr>
          <w:rFonts w:ascii="仿宋" w:hAnsi="仿宋" w:eastAsia="仿宋"/>
        </w:rPr>
      </w:pPr>
      <w:r>
        <w:rPr>
          <w:rFonts w:hint="eastAsia" w:ascii="仿宋" w:hAnsi="仿宋" w:eastAsia="仿宋"/>
        </w:rPr>
        <w:t>基准地价内涵：</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（2）土地使用年期：商服用地40年、住宅用地70年、工业用地50年；</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（3）容积率：商服用地1.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、住宅用地1.</w:t>
      </w:r>
      <w:r>
        <w:rPr>
          <w:rFonts w:ascii="仿宋" w:hAnsi="仿宋" w:eastAsia="仿宋" w:cs="仿宋"/>
          <w:color w:val="000000"/>
          <w:kern w:val="0"/>
          <w:szCs w:val="28"/>
          <w:u w:color="000000"/>
        </w:rPr>
        <w:t>0</w:t>
      </w:r>
      <w:r>
        <w:rPr>
          <w:rFonts w:hint="eastAsia" w:ascii="仿宋" w:hAnsi="仿宋" w:eastAsia="仿宋" w:cs="仿宋"/>
          <w:color w:val="000000"/>
          <w:kern w:val="0"/>
          <w:szCs w:val="28"/>
          <w:u w:color="000000"/>
        </w:rPr>
        <w:t>、工业用地0.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rPr>
        <w:t>（4）开发程度：商服用地、住宅用地、工业用地“五通一平”（宗地红线外通路、通上水、通下水、通电、通讯和宗地内场地平整）。</w:t>
      </w:r>
    </w:p>
    <w:p>
      <w:pPr>
        <w:snapToGrid w:val="0"/>
        <w:ind w:firstLine="560"/>
        <w:jc w:val="both"/>
      </w:pPr>
      <w:r>
        <w:rPr>
          <w:rFonts w:hint="eastAsia" w:ascii="仿宋" w:hAnsi="仿宋" w:eastAsia="仿宋" w:cs="仿宋"/>
          <w:color w:val="000000"/>
          <w:kern w:val="0"/>
          <w:szCs w:val="28"/>
          <w:u w:color="000000"/>
        </w:rPr>
        <w:t>（5）权利状况：国有出让土地使用权，无他项权利限制。</w:t>
      </w:r>
    </w:p>
    <w:p>
      <w:pPr>
        <w:pStyle w:val="2"/>
        <w:ind w:firstLine="643"/>
        <w:sectPr>
          <w:footerReference r:id="rId15" w:type="default"/>
          <w:pgSz w:w="11849" w:h="16781"/>
          <w:pgMar w:top="1417" w:right="1417" w:bottom="1304" w:left="1417" w:header="851" w:footer="992" w:gutter="0"/>
          <w:pgNumType w:start="1"/>
          <w:cols w:space="720" w:num="1"/>
          <w:docGrid w:type="lines" w:linePitch="312" w:charSpace="0"/>
        </w:sectPr>
      </w:pPr>
    </w:p>
    <w:p>
      <w:pPr>
        <w:pStyle w:val="20"/>
        <w:spacing w:before="312" w:beforeLines="100" w:after="312" w:afterLines="100"/>
        <w:ind w:firstLine="0" w:firstLineChars="0"/>
        <w:jc w:val="both"/>
        <w:outlineLvl w:val="0"/>
        <w:rPr>
          <w:rFonts w:ascii="黑体" w:hAnsi="黑体" w:eastAsia="黑体" w:cs="黑体"/>
          <w:sz w:val="32"/>
          <w:szCs w:val="32"/>
          <w:u w:color="000000"/>
        </w:rPr>
      </w:pPr>
      <w:bookmarkStart w:id="21" w:name="_Toc143875230"/>
      <w:r>
        <w:rPr>
          <w:rFonts w:hint="eastAsia" w:ascii="黑体" w:hAnsi="黑体" w:eastAsia="黑体" w:cs="黑体"/>
          <w:sz w:val="32"/>
          <w:szCs w:val="32"/>
          <w:u w:color="000000"/>
        </w:rPr>
        <w:t>二、</w:t>
      </w:r>
      <w:r>
        <w:rPr>
          <w:rFonts w:ascii="黑体" w:hAnsi="黑体" w:eastAsia="黑体" w:cs="黑体"/>
          <w:sz w:val="32"/>
          <w:szCs w:val="32"/>
          <w:u w:color="000000"/>
        </w:rPr>
        <w:t>基准地价修正体系</w:t>
      </w:r>
      <w:bookmarkEnd w:id="21"/>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22" w:name="_Toc143875231"/>
      <w:r>
        <w:rPr>
          <w:rFonts w:hint="eastAsia" w:ascii="仿宋" w:hAnsi="仿宋" w:eastAsia="仿宋"/>
          <w:b/>
          <w:bCs/>
          <w:color w:val="000000"/>
          <w:kern w:val="0"/>
          <w:sz w:val="30"/>
          <w:szCs w:val="30"/>
          <w:u w:color="000000"/>
        </w:rPr>
        <w:t>（一）</w:t>
      </w:r>
      <w:r>
        <w:rPr>
          <w:rFonts w:ascii="仿宋" w:hAnsi="仿宋" w:eastAsia="仿宋"/>
          <w:b/>
          <w:bCs/>
          <w:color w:val="000000"/>
          <w:kern w:val="0"/>
          <w:sz w:val="30"/>
          <w:szCs w:val="30"/>
          <w:u w:color="000000"/>
        </w:rPr>
        <w:t>区位因素修正体系</w:t>
      </w:r>
      <w:bookmarkEnd w:id="22"/>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头道桥镇一级商服用地影响因素指标说明表</w:t>
      </w:r>
    </w:p>
    <w:tbl>
      <w:tblPr>
        <w:tblStyle w:val="37"/>
        <w:tblW w:w="9231" w:type="dxa"/>
        <w:jc w:val="center"/>
        <w:tblLayout w:type="fixed"/>
        <w:tblCellMar>
          <w:top w:w="0" w:type="dxa"/>
          <w:left w:w="28" w:type="dxa"/>
          <w:bottom w:w="0" w:type="dxa"/>
          <w:right w:w="28" w:type="dxa"/>
        </w:tblCellMar>
      </w:tblPr>
      <w:tblGrid>
        <w:gridCol w:w="392"/>
        <w:gridCol w:w="1021"/>
        <w:gridCol w:w="1346"/>
        <w:gridCol w:w="1294"/>
        <w:gridCol w:w="1294"/>
        <w:gridCol w:w="1294"/>
        <w:gridCol w:w="1434"/>
        <w:gridCol w:w="1156"/>
      </w:tblGrid>
      <w:tr>
        <w:tblPrEx>
          <w:tblCellMar>
            <w:top w:w="0" w:type="dxa"/>
            <w:left w:w="28" w:type="dxa"/>
            <w:bottom w:w="0" w:type="dxa"/>
            <w:right w:w="28" w:type="dxa"/>
          </w:tblCellMar>
        </w:tblPrEx>
        <w:trPr>
          <w:trHeight w:val="20" w:hRule="atLeast"/>
          <w:jc w:val="center"/>
        </w:trPr>
        <w:tc>
          <w:tcPr>
            <w:tcW w:w="2759"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7808" behindDoc="0" locked="0" layoutInCell="1" allowOverlap="1">
                      <wp:simplePos x="0" y="0"/>
                      <wp:positionH relativeFrom="column">
                        <wp:posOffset>852170</wp:posOffset>
                      </wp:positionH>
                      <wp:positionV relativeFrom="paragraph">
                        <wp:posOffset>-16510</wp:posOffset>
                      </wp:positionV>
                      <wp:extent cx="866775" cy="581025"/>
                      <wp:effectExtent l="0" t="0" r="28575" b="28575"/>
                      <wp:wrapNone/>
                      <wp:docPr id="97" name="自选图形 11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66775" cy="581025"/>
                              </a:xfrm>
                              <a:prstGeom prst="straightConnector1">
                                <a:avLst/>
                              </a:prstGeom>
                              <a:noFill/>
                              <a:ln w="9525">
                                <a:solidFill>
                                  <a:srgbClr val="000000"/>
                                </a:solidFill>
                                <a:round/>
                              </a:ln>
                              <a:effectLst/>
                            </wps:spPr>
                            <wps:bodyPr/>
                          </wps:wsp>
                        </a:graphicData>
                      </a:graphic>
                    </wp:anchor>
                  </w:drawing>
                </mc:Choice>
                <mc:Fallback>
                  <w:pict>
                    <v:shape id="自选图形 119" o:spid="_x0000_s1026" o:spt="32" type="#_x0000_t32" style="position:absolute;left:0pt;flip:x y;margin-left:67.1pt;margin-top:-1.3pt;height:45.75pt;width:68.25pt;z-index:251767808;mso-width-relative:page;mso-height-relative:page;" filled="f" stroked="t" coordsize="21600,21600" o:gfxdata="UEsFBgAAAAAAAAAAAAAAAAAAAAAAAFBLAwQKAAAAAACHTuJAAAAAAAAAAAAAAAAABAAAAGRycy9Q&#10;SwMEFAAAAAgAh07iQFvVTDnZAAAACQEAAA8AAABkcnMvZG93bnJldi54bWxNj8FOwzAQRO9I/IO1&#10;SFxQazdUSQhxekCiouKAaBFnJ16SiHgdxW5T+HqWExxH+zTzttyc3SBOOIXek4bVUoFAarztqdXw&#10;dnhc5CBCNGTN4Ak1fGGATXV5UZrC+ple8bSPreASCoXR0MU4FlKGpkNnwtKPSHz78JMzkePUSjuZ&#10;mcvdIBOlUulMT7zQmREfOmw+90enYZ0e6u3c4C6TL9+zfX563+5unNbXVyt1DyLiOf7B8KvP6lCx&#10;U+2PZIMYON+uE0Y1LJIUBANJpjIQtYY8vwNZlfL/B9UPUEsDBBQAAAAIAIdO4kD7t3lj6AEAAJkD&#10;AAAOAAAAZHJzL2Uyb0RvYy54bWytU82O0zAQviPxDpbvNE2l/mzUdA9dLRwWWGkX7q7jJBaOxxq7&#10;TXvjhngGbhx5h+VtVoK3YOxmuyzcEDlYmYzn+775ZrI833eG7RR6Dbbk+WjMmbISKm2bkr+7vXyx&#10;4MwHYSthwKqSH5Tn56vnz5a9K9QEWjCVQkYg1he9K3kbgiuyzMtWdcKPwClLyRqwE4FCbLIKRU/o&#10;nckm4/Es6wErhyCV9/T14pjkq4Rf10qGt3XtVWCm5KQtpBPTuYlntlqKokHhWi0HGeIfVHRCWyI9&#10;QV2IINgW9V9QnZYIHuowktBlUNdaqtQDdZOP/+jmphVOpV7IHO9ONvn/Byvf7K6R6arkZ3POrOho&#10;Rj8+ffv58fP9l+/3d19Znp9Fk3rnC7q7ttcY25R7e+OuQH7wzMK6FbZRSeztwRFAwK2KRdmTqhh4&#10;R2yb/jVUdE1sAyTT9jV2rDbavRpqU/B+CCIfGcX2aWqH09TUPjBJHxez2Xw+5UxSarrIx5Np4hZF&#10;hI3FDn14qaBj8aXkPqDQTRvWYC3tB2CeRIjdlQ9R9GNBLLZwqY1Ja2Is68mnKRHEjAejq5hMATab&#10;tUG2E3HR0jOoeHINYWurI4mxsU6lHR2YHxw62r2B6nCNDzbS/JO2YVfjgv0eJ7Mf/6j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vVTDnZAAAACQEAAA8AAAAAAAAAAQAgAAAAOAAAAGRycy9kb3du&#10;cmV2LnhtbFBLAQIUABQAAAAIAIdO4kD7t3lj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8832" behindDoc="0" locked="0" layoutInCell="1" allowOverlap="1">
                      <wp:simplePos x="0" y="0"/>
                      <wp:positionH relativeFrom="column">
                        <wp:posOffset>-43180</wp:posOffset>
                      </wp:positionH>
                      <wp:positionV relativeFrom="paragraph">
                        <wp:posOffset>52705</wp:posOffset>
                      </wp:positionV>
                      <wp:extent cx="1724025" cy="323850"/>
                      <wp:effectExtent l="0" t="0" r="28575" b="19050"/>
                      <wp:wrapNone/>
                      <wp:docPr id="88" name="自选图形 12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23850"/>
                              </a:xfrm>
                              <a:prstGeom prst="straightConnector1">
                                <a:avLst/>
                              </a:prstGeom>
                              <a:noFill/>
                              <a:ln w="9525">
                                <a:solidFill>
                                  <a:srgbClr val="000000"/>
                                </a:solidFill>
                                <a:round/>
                              </a:ln>
                              <a:effectLst/>
                            </wps:spPr>
                            <wps:bodyPr/>
                          </wps:wsp>
                        </a:graphicData>
                      </a:graphic>
                    </wp:anchor>
                  </w:drawing>
                </mc:Choice>
                <mc:Fallback>
                  <w:pict>
                    <v:shape id="自选图形 120" o:spid="_x0000_s1026" o:spt="32" type="#_x0000_t32" style="position:absolute;left:0pt;flip:x y;margin-left:-3.4pt;margin-top:4.15pt;height:25.5pt;width:135.75pt;z-index:251768832;mso-width-relative:page;mso-height-relative:page;" filled="f" stroked="t" coordsize="21600,21600" o:gfxdata="UEsFBgAAAAAAAAAAAAAAAAAAAAAAAFBLAwQKAAAAAACHTuJAAAAAAAAAAAAAAAAABAAAAGRycy9Q&#10;SwMEFAAAAAgAh07iQGys82nYAAAABwEAAA8AAABkcnMvZG93bnJldi54bWxNzk9Lw0AQBfC74HdY&#10;RvAi7aZ/TGvMpAfBYvEgtuJ5kx2TYHY2ZLdN9dM7nvQ4vOG9X745u06daAitZ4TZNAFFXHnbco3w&#10;dnicrEGFaNiazjMhfFGATXF5kZvM+pFf6bSPtZISDplBaGLsM61D1ZAzYep7Ysk+/OBMlHOotR3M&#10;KOWu0/MkSbUzLctCY3p6aKj63B8dwjI9lNuxot1Kv3yP9vnpfbu7cYjXV7PkHlSkc/x7hl++0KEQ&#10;U+mPbIPqECapyCPCegFK4nm6XIEqEW7vFqCLXP/3Fz9QSwMEFAAAAAgAh07iQHgAaV7pAQAAmgMA&#10;AA4AAABkcnMvZTJvRG9jLnhtbK1TwY7TMBC9I/EPlu80TZZCiZruoauFwwKVduHuOk5i4Xissduk&#10;N26Ib+C2R/4B/mYl+AvG3m4XlhsiByuT8bx58+ZlcTr2hu0Ueg224vlkypmyEmpt24q/uzp/MufM&#10;B2FrYcCqiu+V56fLx48WgytVAR2YWiEjEOvLwVW8C8GVWeZlp3rhJ+CUpWQD2ItAIbZZjWIg9N5k&#10;xXT6LBsAa4cglff09ew2yZcJv2mUDG+bxqvATMWJW0gnpnMTz2y5EGWLwnVaHmiIf2DRC22p6RHq&#10;TATBtqj/guq1RPDQhImEPoOm0VKlGWiafPpgmstOOJVmIXG8O8rk/x+sfLNbI9N1xee0KSt62tGP&#10;T19/fvx88+X7zbdrlhdJpMH5ku6u7BrjmHK0l+4C5AfPLKw6YVuVyF7tHQEE3KqobPZHVQy8o26b&#10;4TXUdE1sAyTRxgZ71hjtXh1qU/D+EMR+JBQb09b2x62pMTBJH/PnxdNpMeNMUu6kOJnPEuNMlBE3&#10;Vjv04aWCnsWXivuAQrddWIG1ZBDAPLEQuwsfIuv7glhs4Vwbk3xiLBsq/mJGzWLGg9F1TKYA283K&#10;INuJ6LT0JAkeXEPY2vq2ibGxTiWTHjrfSRTt68sN1Ps13ulIBkjcDmaNDvs9Tmrf/1L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Gys82nYAAAABwEAAA8AAAAAAAAAAQAgAAAAOAAAAGRycy9kb3du&#10;cmV2LnhtbFBLAQIUABQAAAAIAIdO4kB4AGle6QEAAJoDAAAOAAAAAAAAAAEAIAAAAD0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9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2"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2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00,600)米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[600,1000)米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≥1000米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00)米</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2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28" w:type="dxa"/>
            <w:bottom w:w="0" w:type="dxa"/>
            <w:right w:w="28" w:type="dxa"/>
          </w:tblCellMar>
        </w:tblPrEx>
        <w:trPr>
          <w:trHeight w:val="20" w:hRule="atLeast"/>
          <w:jc w:val="center"/>
        </w:trPr>
        <w:tc>
          <w:tcPr>
            <w:tcW w:w="392"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9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28" w:type="dxa"/>
            <w:bottom w:w="0" w:type="dxa"/>
            <w:right w:w="28"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4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28" w:type="dxa"/>
            <w:bottom w:w="0" w:type="dxa"/>
            <w:right w:w="28"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34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9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 w:val="24"/>
          <w:szCs w:val="24"/>
          <w:u w:color="000000"/>
        </w:rPr>
      </w:pPr>
      <w:r>
        <mc:AlternateContent>
          <mc:Choice Requires="wps">
            <w:drawing>
              <wp:anchor distT="0" distB="0" distL="114300" distR="114300" simplePos="0" relativeHeight="251694080" behindDoc="0" locked="0" layoutInCell="1" allowOverlap="1">
                <wp:simplePos x="0" y="0"/>
                <wp:positionH relativeFrom="column">
                  <wp:posOffset>1045845</wp:posOffset>
                </wp:positionH>
                <wp:positionV relativeFrom="paragraph">
                  <wp:posOffset>344170</wp:posOffset>
                </wp:positionV>
                <wp:extent cx="806450" cy="648970"/>
                <wp:effectExtent l="0" t="0" r="31750" b="18415"/>
                <wp:wrapNone/>
                <wp:docPr id="66" name="自选图形 12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06524" cy="648808"/>
                        </a:xfrm>
                        <a:prstGeom prst="straightConnector1">
                          <a:avLst/>
                        </a:prstGeom>
                        <a:noFill/>
                        <a:ln w="9525">
                          <a:solidFill>
                            <a:srgbClr val="000000"/>
                          </a:solidFill>
                          <a:round/>
                        </a:ln>
                        <a:effectLst/>
                      </wps:spPr>
                      <wps:bodyPr/>
                    </wps:wsp>
                  </a:graphicData>
                </a:graphic>
              </wp:anchor>
            </w:drawing>
          </mc:Choice>
          <mc:Fallback>
            <w:pict>
              <v:shape id="自选图形 121" o:spid="_x0000_s1026" o:spt="32" type="#_x0000_t32" style="position:absolute;left:0pt;flip:x y;margin-left:82.35pt;margin-top:27.1pt;height:51.1pt;width:63.5pt;z-index:251694080;mso-width-relative:page;mso-height-relative:page;" filled="f" stroked="t" coordsize="21600,21600" o:gfxdata="UEsFBgAAAAAAAAAAAAAAAAAAAAAAAFBLAwQKAAAAAACHTuJAAAAAAAAAAAAAAAAABAAAAGRycy9Q&#10;SwMEFAAAAAgAh07iQI0H/i3aAAAACgEAAA8AAABkcnMvZG93bnJldi54bWxNj8FOwzAQRO9I/Qdr&#10;K3FB1EmUpjTE6QGJiopDRYs4O/E2iYjXUew2ha9nOcFxdp5mZ4rN1fbigqPvHCmIFxEIpNqZjhoF&#10;78fn+wcQPmgyuneECr7Qw6ac3RQ6N26iN7wcQiM4hHyuFbQhDLmUvm7Rar9wAxJ7JzdaHViOjTSj&#10;njjc9jKJokxa3RF/aPWATy3Wn4ezVZBmx2o71bhbyf33ZF5fPra7O6vU7TyOHkEEvIY/GH7rc3Uo&#10;uVPlzmS86Fln6YpRBcs0AcFAso75ULGzzFKQZSH/Tyh/AFBLAwQUAAAACACHTuJApmKmPOkBAACZ&#10;AwAADgAAAGRycy9lMm9Eb2MueG1srVPBjtMwEL0j8Q+W7zRJtY1C1HQPXS0cFqi0y95dx0ksHI81&#10;dpv0xg3xDdw48g/wNyvBX2C72e4u3BA5WJmM35s3bybL87FXZC/QStAVzWYpJUJzqKVuK/r+5vJF&#10;QYl1TNdMgRYVPQhLz1fPny0HU4o5dKBqgcSTaFsOpqKdc6ZMEss70TM7AyO0TzaAPXM+xDapkQ2e&#10;vVfJPE3zZACsDQIX1vqvF8ckXUX+phHcvWsaKxxRFfXaXDwxnttwJqslK1tkppN8ksH+QUXPpPZF&#10;T1QXzDGyQ/kXVS85goXGzTj0CTSN5CL24LvJ0j+6ue6YEbEXb441J5vs/6Plb/cbJLKuaJ5Tolnv&#10;Z/Tz07dfHz/ffflx9/0ryeZZMGkwtvR313qDoU0+6mtzBfyDJRrWHdOtiGJvDsYTONyJAEqeoEJg&#10;ja+2Hd5A7a+xnYNo2thgTxolzesJG4PbKQj1vFFkjFM7nKYmRke4/1ik+WJ+Rgn3qfysKNIi1mZl&#10;oA1gg9a9EtCT8FJR65DJtnNr0NrvB2AWRbD9lXVB9AMggDVcSqXimihNhoq+XMwXEWBByTokwzWL&#10;7XatkOxZWLT4TCqeXEPY6fpYROmAE3FHp8r3Dh3t3kJ92OC9jX7+Udu0q2HBHsfR7Ic/av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jQf+LdoAAAAKAQAADwAAAAAAAAABACAAAAA4AAAAZHJzL2Rv&#10;d25yZXYueG1sUEsBAhQAFAAAAAgAh07iQKZipjzpAQAAmQMAAA4AAAAAAAAAAQAgAAAAPw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2</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头道桥镇一级商服用地基准地价修正系数表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134"/>
        <w:gridCol w:w="1530"/>
        <w:gridCol w:w="1229"/>
        <w:gridCol w:w="1229"/>
        <w:gridCol w:w="1229"/>
        <w:gridCol w:w="1229"/>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3085" w:type="dxa"/>
            <w:gridSpan w:val="3"/>
            <w:vAlign w:val="center"/>
          </w:tcPr>
          <w:p>
            <w:pPr>
              <w:spacing w:line="240" w:lineRule="auto"/>
              <w:ind w:firstLine="1785" w:firstLineChars="85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65760" behindDoc="0" locked="0" layoutInCell="1" allowOverlap="1">
                      <wp:simplePos x="0" y="0"/>
                      <wp:positionH relativeFrom="column">
                        <wp:posOffset>-13970</wp:posOffset>
                      </wp:positionH>
                      <wp:positionV relativeFrom="paragraph">
                        <wp:posOffset>29210</wp:posOffset>
                      </wp:positionV>
                      <wp:extent cx="1866900" cy="371475"/>
                      <wp:effectExtent l="0" t="0" r="19050" b="28575"/>
                      <wp:wrapNone/>
                      <wp:docPr id="86" name="自选图形 12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66900" cy="371475"/>
                              </a:xfrm>
                              <a:prstGeom prst="straightConnector1">
                                <a:avLst/>
                              </a:prstGeom>
                              <a:noFill/>
                              <a:ln w="9525">
                                <a:solidFill>
                                  <a:srgbClr val="000000"/>
                                </a:solidFill>
                                <a:round/>
                              </a:ln>
                              <a:effectLst/>
                            </wps:spPr>
                            <wps:bodyPr/>
                          </wps:wsp>
                        </a:graphicData>
                      </a:graphic>
                    </wp:anchor>
                  </w:drawing>
                </mc:Choice>
                <mc:Fallback>
                  <w:pict>
                    <v:shape id="自选图形 122" o:spid="_x0000_s1026" o:spt="32" type="#_x0000_t32" style="position:absolute;left:0pt;flip:x y;margin-left:-1.1pt;margin-top:2.3pt;height:29.25pt;width:147pt;z-index:251765760;mso-width-relative:page;mso-height-relative:page;" filled="f" stroked="t" coordsize="21600,21600" o:gfxdata="UEsFBgAAAAAAAAAAAAAAAAAAAAAAAFBLAwQKAAAAAACHTuJAAAAAAAAAAAAAAAAABAAAAGRycy9Q&#10;SwMEFAAAAAgAh07iQJwbnRbWAAAABwEAAA8AAABkcnMvZG93bnJldi54bWxNj0FLw0AQhe+C/2EZ&#10;wYu0m0SJGrPpQbBYPIiteJ5kxySYnQ3ZbVP99U5Pehze43vflKujG9SBptB7NpAuE1DEjbc9twbe&#10;d0+LO1AhIlscPJOBbwqwqs7PSiysn/mNDtvYKoFwKNBAF+NYaB2ajhyGpR+JJfv0k8Mo59RqO+Es&#10;cDfoLEly7bBnWehwpMeOmq/t3hm4yXf1em5oc6tff2b78vyx3lw5Yy4v0uQBVKRj/CvDSV/UoRKn&#10;2u/ZBjUYWGSZNE8sUBJn96l8UhvIr1PQVan/+1e/UEsDBBQAAAAIAIdO4kA6lS/F6wEAAJoDAAAO&#10;AAAAZHJzL2Uyb0RvYy54bWytU81u1DAQviPxDpbvbH5gt9tosz1sVTgUWKmFu9dxEgvHY429m+yN&#10;G+IZuPXIO8DbVKJvUdubbincEDlYmYy/b775ZrI4GzpFdgKtBF3SbJJSIjSHSuqmpB+uL17MKbGO&#10;6Yop0KKke2Hp2fL5s0VvCpFDC6oSSDyJtkVvSto6Z4oksbwVHbMTMEL7ZA3YMedDbJIKWe/ZO5Xk&#10;aTpLesDKIHBhrf96fkjSZeSva8Hd+7q2whFVUq/NxRPjuQlnslywokFmWslHGewfVHRMal/0SHXO&#10;HCNblH9RdZIjWKjdhEOXQF1LLmIPvpss/aObq5YZEXvx5lhztMn+P1r+brdGIquSzmeUaNb5Gf36&#10;8v3u89fbbz9vf9yQLM+DSb2xhb+70msMbfJBX5lL4J8s0bBqmW5EFHu9N57A4VYEUPIEFQJrfLVN&#10;/xYqf41tHUTThho7Uitp3ozYGHwcg1DPG0WGOLX9cWpicIT7j9l8NjtN/XC5z708yV6dTGNxVgTe&#10;gDZo3WsBHQkvJbUOmWxatwKt/YIAZlEF211aF1Q/AgJYw4VUKu6J0qQv6ek0n0aABSWrkAzXLDab&#10;lUKyY2HT4jOqeHINYaurQxGlA07EJR0rP1h08HsD1X6NDz76BYjaxmUNG/Z7HN1+/KWW9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wbnRbWAAAABwEAAA8AAAAAAAAAAQAgAAAAOAAAAGRycy9kb3du&#10;cmV2LnhtbFBLAQIUABQAAAAIAIdO4kA6lS/F6wEAAJoDAAAOAAAAAAAAAAEAIAAAADs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3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0.0466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0.0233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-0.0198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3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2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3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0.0194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0.0142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0.0142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r>
    </w:tbl>
    <w:p>
      <w:pPr>
        <w:tabs>
          <w:tab w:val="left" w:pos="705"/>
        </w:tabs>
        <w:ind w:firstLine="0" w:firstLineChars="0"/>
        <w:jc w:val="center"/>
        <w:rPr>
          <w:rFonts w:ascii="仿宋" w:hAnsi="仿宋" w:eastAsia="仿宋" w:cs="仿宋"/>
          <w:sz w:val="24"/>
          <w:szCs w:val="24"/>
          <w:u w:color="000000"/>
        </w:rPr>
      </w:pPr>
    </w:p>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头道桥镇二级商服用地影响因素指标说明表</w:t>
      </w:r>
    </w:p>
    <w:tbl>
      <w:tblPr>
        <w:tblStyle w:val="37"/>
        <w:tblW w:w="9231" w:type="dxa"/>
        <w:jc w:val="center"/>
        <w:tblLayout w:type="fixed"/>
        <w:tblCellMar>
          <w:top w:w="0" w:type="dxa"/>
          <w:left w:w="0" w:type="dxa"/>
          <w:bottom w:w="0" w:type="dxa"/>
          <w:right w:w="0" w:type="dxa"/>
        </w:tblCellMar>
      </w:tblPr>
      <w:tblGrid>
        <w:gridCol w:w="279"/>
        <w:gridCol w:w="709"/>
        <w:gridCol w:w="1701"/>
        <w:gridCol w:w="1275"/>
        <w:gridCol w:w="1276"/>
        <w:gridCol w:w="1401"/>
        <w:gridCol w:w="1434"/>
        <w:gridCol w:w="1156"/>
      </w:tblGrid>
      <w:tr>
        <w:tblPrEx>
          <w:tblCellMar>
            <w:top w:w="0" w:type="dxa"/>
            <w:left w:w="0" w:type="dxa"/>
            <w:bottom w:w="0" w:type="dxa"/>
            <w:right w:w="0" w:type="dxa"/>
          </w:tblCellMar>
        </w:tblPrEx>
        <w:trPr>
          <w:trHeight w:val="20" w:hRule="atLeast"/>
          <w:jc w:val="center"/>
        </w:trPr>
        <w:tc>
          <w:tcPr>
            <w:tcW w:w="2689" w:type="dxa"/>
            <w:gridSpan w:val="3"/>
            <w:tcBorders>
              <w:top w:val="single" w:color="auto" w:sz="4" w:space="0"/>
              <w:left w:val="single" w:color="auto" w:sz="4" w:space="0"/>
              <w:bottom w:val="single" w:color="auto" w:sz="4" w:space="0"/>
              <w:right w:val="single" w:color="auto" w:sz="4" w:space="0"/>
            </w:tcBorders>
            <w:noWrap/>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0880" behindDoc="0" locked="0" layoutInCell="1" allowOverlap="1">
                      <wp:simplePos x="0" y="0"/>
                      <wp:positionH relativeFrom="column">
                        <wp:posOffset>690245</wp:posOffset>
                      </wp:positionH>
                      <wp:positionV relativeFrom="paragraph">
                        <wp:posOffset>-19685</wp:posOffset>
                      </wp:positionV>
                      <wp:extent cx="1019175" cy="609600"/>
                      <wp:effectExtent l="0" t="0" r="28575" b="19050"/>
                      <wp:wrapNone/>
                      <wp:docPr id="85" name="自选图形 12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609600"/>
                              </a:xfrm>
                              <a:prstGeom prst="straightConnector1">
                                <a:avLst/>
                              </a:prstGeom>
                              <a:noFill/>
                              <a:ln w="9525">
                                <a:solidFill>
                                  <a:srgbClr val="000000"/>
                                </a:solidFill>
                                <a:round/>
                              </a:ln>
                              <a:effectLst/>
                            </wps:spPr>
                            <wps:bodyPr/>
                          </wps:wsp>
                        </a:graphicData>
                      </a:graphic>
                    </wp:anchor>
                  </w:drawing>
                </mc:Choice>
                <mc:Fallback>
                  <w:pict>
                    <v:shape id="自选图形 123" o:spid="_x0000_s1026" o:spt="32" type="#_x0000_t32" style="position:absolute;left:0pt;flip:x y;margin-left:54.35pt;margin-top:-1.55pt;height:48pt;width:80.25pt;z-index:251770880;mso-width-relative:page;mso-height-relative:page;" filled="f" stroked="t" coordsize="21600,21600" o:gfxdata="UEsFBgAAAAAAAAAAAAAAAAAAAAAAAFBLAwQKAAAAAACHTuJAAAAAAAAAAAAAAAAABAAAAGRycy9Q&#10;SwMEFAAAAAgAh07iQFPx7LDZAAAACQEAAA8AAABkcnMvZG93bnJldi54bWxNj8FOwzAQRO9I/IO1&#10;SFxQayegtAlxekCiouKAaBFnJ16SiHgdxW5T+HqWExxH+zTzttyc3SBOOIXek4ZkqUAgNd721Gp4&#10;Ozwu1iBCNGTN4Ak1fGGATXV5UZrC+ple8bSPreASCoXR0MU4FlKGpkNnwtKPSHz78JMzkePUSjuZ&#10;mcvdIFOlMulMT7zQmREfOmw+90en4S471Nu5wd1KvnzP9vnpfbu7cVpfXyXqHkTEc/yD4Vef1aFi&#10;p9ofyQYxcFbrFaMaFrcJCAbSLE9B1BryNAdZlfL/B9UPUEsDBBQAAAAIAIdO4kAvjbUr6wEAAJoD&#10;AAAOAAAAZHJzL2Uyb0RvYy54bWytU8GO0zAQvSPxD5bvNElRyzZquoeuFg4LVNqFu+s4iYXjscZu&#10;0964Ib6BG8f9B/ibleAvGLvd7gI3RA5WJuP35s2byfx81xu2Veg12IoXo5wzZSXU2rYVf3dz+eyM&#10;Mx+ErYUBqyq+V56fL54+mQ+uVGPowNQKGZFYXw6u4l0IrswyLzvVCz8CpywlG8BeBAqxzWoUA7H3&#10;Jhvn+TQbAGuHIJX39PXikOSLxN80Soa3TeNVYKbipC2kE9O5jme2mIuyReE6LY8yxD+o6IW2VPRE&#10;dSGCYBvUf1H1WiJ4aMJIQp9B02ipUg/UTZH/0c11J5xKvZA53p1s8v+PVr7ZrpDpuuJnE86s6GlG&#10;Pz7d/vz4+e7L97tvX1kxfh5NGpwv6e7SrjC2KXf22l2B/OCZhWUnbKuS2Ju9I4KAGxVB2W+oGHhH&#10;1dbDa6jpmtgESKbtGuxZY7R7dcSm4P0xiPXIKLZLU9ufpqZ2gUn6WOTFrHhB6iXlpvlsmqexZqKM&#10;vBHt0IeXCnoWXyruAwrddmEJ1tKCABZJhdhe+RBVPwAi2MKlNibtibFsqPhsMp4kgAej65iM1zy2&#10;66VBthVx09KTLKDM42sIG1sfihgbcSot6bHyvUUHv9dQ71d47yMtQNJ2XNa4YY/j5PbDL7X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FPx7LDZAAAACQEAAA8AAAAAAAAAAQAgAAAAOAAAAGRycy9k&#10;b3ducmV2LnhtbFBLAQIUABQAAAAIAIdO4kAvjbUr6wEAAJoDAAAOAAAAAAAAAAEAIAAAAD4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1904" behindDoc="0" locked="0" layoutInCell="1" allowOverlap="1">
                      <wp:simplePos x="0" y="0"/>
                      <wp:positionH relativeFrom="column">
                        <wp:posOffset>9525</wp:posOffset>
                      </wp:positionH>
                      <wp:positionV relativeFrom="paragraph">
                        <wp:posOffset>67310</wp:posOffset>
                      </wp:positionV>
                      <wp:extent cx="1685925" cy="304800"/>
                      <wp:effectExtent l="0" t="0" r="28575" b="19050"/>
                      <wp:wrapNone/>
                      <wp:docPr id="84" name="自选图形 12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85925" cy="304800"/>
                              </a:xfrm>
                              <a:prstGeom prst="straightConnector1">
                                <a:avLst/>
                              </a:prstGeom>
                              <a:noFill/>
                              <a:ln w="9525">
                                <a:solidFill>
                                  <a:srgbClr val="000000"/>
                                </a:solidFill>
                                <a:round/>
                              </a:ln>
                              <a:effectLst/>
                            </wps:spPr>
                            <wps:bodyPr/>
                          </wps:wsp>
                        </a:graphicData>
                      </a:graphic>
                    </wp:anchor>
                  </w:drawing>
                </mc:Choice>
                <mc:Fallback>
                  <w:pict>
                    <v:shape id="自选图形 124" o:spid="_x0000_s1026" o:spt="32" type="#_x0000_t32" style="position:absolute;left:0pt;flip:x y;margin-left:0.75pt;margin-top:5.3pt;height:24pt;width:132.75pt;z-index:251771904;mso-width-relative:page;mso-height-relative:page;" filled="f" stroked="t" coordsize="21600,21600" o:gfxdata="UEsFBgAAAAAAAAAAAAAAAAAAAAAAAFBLAwQKAAAAAACHTuJAAAAAAAAAAAAAAAAABAAAAGRycy9Q&#10;SwMEFAAAAAgAh07iQMPxcm/XAAAABwEAAA8AAABkcnMvZG93bnJldi54bWxNj8FOwzAQRO9I/Qdr&#10;K3FB1G5F3SrE6QGJiooDokWcnXhJIuJ1FLtN6dd3OcFpNZrR7Jt8c/adOOEQ20AG5jMFAqkKrqXa&#10;wMfh+X4NIiZLznaB0MAPRtgUk5vcZi6M9I6nfaoFl1DMrIEmpT6TMlYNehtnoUdi7ysM3iaWQy3d&#10;YEcu951cKKWlty3xh8b2+NRg9b0/egMP+lBuxwp3K/l2Gd3ry+d2d+eNuZ3O1SOIhOf0F4ZffEaH&#10;gpnKcCQXRcd6yUE+SoNge6FXPK00sFxrkEUu//MXV1BLAwQUAAAACACHTuJAqsQVUekBAACaAwAA&#10;DgAAAGRycy9lMm9Eb2MueG1srVPBjtMwEL0j8Q+W7zRJaVfdqOkeulo4LFBpF+6uYycWjscau016&#10;44b4Bm4c+Qf4m5XgL7DdbBeWGyIHK5PxvHnz5mV5MXSa7AU6BaaixSSnRBgOtTJNRd/eXj1bUOI8&#10;MzXTYERFD8LRi9XTJ8velmIKLehaIAkgxpW9rWjrvS2zzPFWdMxNwAoTkhKwYz6E2GQ1sj6gdzqb&#10;5vlZ1gPWFoEL58LXy2OSrhK+lIL7N1I64YmuaODm04np3MYzWy1Z2SCzreIjDfYPLDqmTGh6grpk&#10;npEdqr+gOsURHEg/4dBlIKXiIs0QpinyR9PctMyKNEsQx9mTTO7/wfLX+w0SVVd0MaPEsC7s6MfH&#10;rz8/fLr7/P3u2xdSTGdRpN66Mtxdmw3GMflgbuw18PeOGFi3zDQikb092ADgcSdiUfZHVQycDd22&#10;/SuowzW285BEGyR2RGplX461KXg3BrFfEIoMaWuH09bE4AkPH4uzxfx8OqeEh9zzfLbI01ozVkbc&#10;WG3R+RcCOhJfKuo8MtW0fg3GBIMAFokF2187H1k/FMRiA1dK6+QTbUhf0fN5aBYzDrSqYzIF2GzX&#10;GsmeRaelJ0nw6BrCztTHJtrEOpFMOna+l+io9xbqwwbvdQwGSNxGs0aH/R4ntR9+qd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Fyb9cAAAAHAQAADwAAAAAAAAABACAAAAA4AAAAZHJzL2Rvd25y&#10;ZXYueG1sUEsBAhQAFAAAAAgAh07iQKrEFVHpAQAAmgMAAA4AAAAAAAAAAQAgAAAAP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76"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01"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279" w:type="dxa"/>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restart"/>
            <w:tcBorders>
              <w:top w:val="nil"/>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top w:val="nil"/>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00)米</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0)米</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15</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709" w:type="dxa"/>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bottom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75"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76"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4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988" w:type="dxa"/>
            <w:gridSpan w:val="2"/>
            <w:vMerge w:val="restart"/>
            <w:tcBorders>
              <w:top w:val="single" w:color="auto" w:sz="4" w:space="0"/>
              <w:left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tcBorders>
              <w:top w:val="single" w:color="auto" w:sz="4" w:space="0"/>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bottom w:val="single" w:color="auto" w:sz="4" w:space="0"/>
              <w:right w:val="single" w:color="auto" w:sz="4" w:space="0"/>
            </w:tcBorders>
            <w:noWrap/>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75"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7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01"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noWrap/>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mc:AlternateContent>
          <mc:Choice Requires="wps">
            <w:drawing>
              <wp:anchor distT="0" distB="0" distL="114300" distR="114300" simplePos="0" relativeHeight="251698176" behindDoc="0" locked="0" layoutInCell="1" allowOverlap="1">
                <wp:simplePos x="0" y="0"/>
                <wp:positionH relativeFrom="column">
                  <wp:posOffset>823595</wp:posOffset>
                </wp:positionH>
                <wp:positionV relativeFrom="paragraph">
                  <wp:posOffset>309880</wp:posOffset>
                </wp:positionV>
                <wp:extent cx="1019175" cy="542925"/>
                <wp:effectExtent l="0" t="0" r="28575" b="28575"/>
                <wp:wrapNone/>
                <wp:docPr id="62" name="自选图形 12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9175" cy="542925"/>
                        </a:xfrm>
                        <a:prstGeom prst="straightConnector1">
                          <a:avLst/>
                        </a:prstGeom>
                        <a:noFill/>
                        <a:ln w="9525">
                          <a:solidFill>
                            <a:srgbClr val="000000"/>
                          </a:solidFill>
                          <a:round/>
                        </a:ln>
                        <a:effectLst/>
                      </wps:spPr>
                      <wps:bodyPr/>
                    </wps:wsp>
                  </a:graphicData>
                </a:graphic>
              </wp:anchor>
            </w:drawing>
          </mc:Choice>
          <mc:Fallback>
            <w:pict>
              <v:shape id="自选图形 125" o:spid="_x0000_s1026" o:spt="32" type="#_x0000_t32" style="position:absolute;left:0pt;flip:x y;margin-left:64.85pt;margin-top:24.4pt;height:42.75pt;width:80.25pt;z-index:251698176;mso-width-relative:page;mso-height-relative:page;" filled="f" stroked="t" coordsize="21600,21600" o:gfxdata="UEsFBgAAAAAAAAAAAAAAAAAAAAAAAFBLAwQKAAAAAACHTuJAAAAAAAAAAAAAAAAABAAAAGRycy9Q&#10;SwMEFAAAAAgAh07iQOWunPbaAAAACgEAAA8AAABkcnMvZG93bnJldi54bWxNj81OwzAQhO9IfQdr&#10;K3FB1G5a9SfE6aFSKyoOFS3i7MRLEhGvo9htCk/PcoLjaEbfzGSbm2vFFfvQeNIwnSgQSKW3DVUa&#10;3s67xxWIEA1Z03pCDV8YYJOP7jKTWj/QK15PsRIMoZAaDXWMXSplKGt0Jkx8h8Teh++diSz7Stre&#10;DAx3rUyUWkhnGuKG2nS4rbH8PF2chvniXOyHEg9Lefwe7Mvz+/7w4LS+H0/VE4iIt/gXht/5PB1y&#10;3lT4C9kgWtbJeslRhq34AgeStUpAFOzM5jOQeSb/X8h/AFBLAwQUAAAACACHTuJAsrjmBOgBAACa&#10;AwAADgAAAGRycy9lMm9Eb2MueG1srVPNjtMwEL4j8Q6W7zQ/oguNmu6hq4XDApV24e46dmLheKyx&#10;26Q3bohn4MaRd4C3WQneAtvNdmG5IXKwMh7PN998/rw8H3tN9gKdAlPTYpZTIgyHRpm2pm9vLp88&#10;p8R5ZhqmwYiaHoSj56vHj5aDrUQJHehGIAkgxlWDrWnnva2yzPFO9MzNwAoTkhKwZz6E2GYNsiGg&#10;9zor8/wsGwAbi8CFc2H34pikq4QvpeD+jZROeKJrGrj5tGJat3HNVktWtchsp/hEg/0Di54pE5qe&#10;oC6YZ2SH6i+oXnEEB9LPOPQZSKm4SDOEaYr8wTTXHbMizRLEcfYkk/t/sPz1foNENTU9KykxrA93&#10;9OPj158fPt1+/n777QspynkUabCuCmfXZoNxTD6aa3sF/L0jBtYdM61IZG8ONgB43IlYlP1RFQNn&#10;Q7ft8AqacIztPCTRRok9kVrZl1NtCt5NQewXhCJjurXD6dbE6AkPm0VeLIpnc0p4yM2flosj44xV&#10;ETdWW3T+hYCexJ+aOo9MtZ1fgzHBIIBFYsH2V85H1vcFsdjApdI6+UQbMtR0MQ8NYsaBVk1MpgDb&#10;7Voj2bPotPQlCR4cQ9iZ5thEm1gnkkmnzncSHfXeQnPY4J2OwQCJ22TW6LDf46T2/ZNa/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lrpz22gAAAAoBAAAPAAAAAAAAAAEAIAAAADgAAABkcnMvZG93&#10;bnJldi54bWxQSwECFAAUAAAACACHTuJAsrjmBOgBAACa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头道桥镇二级商服用地基准地价修正系数表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164"/>
        <w:gridCol w:w="1530"/>
        <w:gridCol w:w="1229"/>
        <w:gridCol w:w="1229"/>
        <w:gridCol w:w="1229"/>
        <w:gridCol w:w="1229"/>
        <w:gridCol w:w="1230"/>
      </w:tblGrid>
      <w:tr>
        <w:tblPrEx>
          <w:tblCellMar>
            <w:top w:w="0" w:type="dxa"/>
            <w:left w:w="28" w:type="dxa"/>
            <w:bottom w:w="0" w:type="dxa"/>
            <w:right w:w="28" w:type="dxa"/>
          </w:tblCellMar>
        </w:tblPrEx>
        <w:trPr>
          <w:trHeight w:val="20" w:hRule="atLeast"/>
          <w:jc w:val="center"/>
        </w:trPr>
        <w:tc>
          <w:tcPr>
            <w:tcW w:w="308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3952" behindDoc="0" locked="0" layoutInCell="1" allowOverlap="1">
                      <wp:simplePos x="0" y="0"/>
                      <wp:positionH relativeFrom="column">
                        <wp:posOffset>13970</wp:posOffset>
                      </wp:positionH>
                      <wp:positionV relativeFrom="paragraph">
                        <wp:posOffset>144145</wp:posOffset>
                      </wp:positionV>
                      <wp:extent cx="1895475" cy="247650"/>
                      <wp:effectExtent l="0" t="0" r="28575" b="19050"/>
                      <wp:wrapNone/>
                      <wp:docPr id="82" name="自选图形 12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95475" cy="247650"/>
                              </a:xfrm>
                              <a:prstGeom prst="straightConnector1">
                                <a:avLst/>
                              </a:prstGeom>
                              <a:noFill/>
                              <a:ln w="9525">
                                <a:solidFill>
                                  <a:srgbClr val="000000"/>
                                </a:solidFill>
                                <a:round/>
                              </a:ln>
                              <a:effectLst/>
                            </wps:spPr>
                            <wps:bodyPr/>
                          </wps:wsp>
                        </a:graphicData>
                      </a:graphic>
                    </wp:anchor>
                  </w:drawing>
                </mc:Choice>
                <mc:Fallback>
                  <w:pict>
                    <v:shape id="自选图形 126" o:spid="_x0000_s1026" o:spt="32" type="#_x0000_t32" style="position:absolute;left:0pt;flip:x y;margin-left:1.1pt;margin-top:11.35pt;height:19.5pt;width:149.25pt;z-index:251773952;mso-width-relative:page;mso-height-relative:page;" filled="f" stroked="t" coordsize="21600,21600" o:gfxdata="UEsFBgAAAAAAAAAAAAAAAAAAAAAAAFBLAwQKAAAAAACHTuJAAAAAAAAAAAAAAAAABAAAAGRycy9Q&#10;SwMEFAAAAAgAh07iQP6z9avWAAAABwEAAA8AAABkcnMvZG93bnJldi54bWxNjsFOwzAQRO9I/IO1&#10;SFwQtRNQUqVxekCiouKAaBFnJ16SiHgdxW5T+Hq2J3qaHc1o9pXrkxvEEafQe9KQLBQIpMbbnloN&#10;H/vn+yWIEA1ZM3hCDT8YYF1dX5WmsH6mdzzuYit4hEJhNHQxjoWUoenQmbDwIxJnX35yJrKdWmkn&#10;M/O4G2SqVCad6Yk/dGbEpw6b793BaXjM9vVmbnCby7ff2b6+fG62d07r25tErUBEPMX/MpzxGR0q&#10;Zqr9gWwQg4Y05eJZchAcPyjFR60hS3KQVSkv+as/UEsDBBQAAAAIAIdO4kDZeFPm7QEAAJoDAAAO&#10;AAAAZHJzL2Uyb0RvYy54bWytU7Fu2zAQ3Qv0HwjutSwhchzBcgYHaYe0NZCkO01RElGKRxxpS966&#10;Ff2Gbh3zD+3fBGj/IiStOGm7FdVA6Hj33t29Oy7Oh06RnUArQZc0nUwpEZpDJXVT0tuby1dzSqxj&#10;umIKtCjpXlh6vnz5YtGbQmTQgqoEEk+ibdGbkrbOmSJJLG9Fx+wEjNDeWQN2zHkTm6RC1nv2TiXZ&#10;dDpLesDKIHBhrb+9ODjpMvLXteDufV1b4Ygqqa/NxRPjuQlnslywokFmWsnHMtg/VNExqX3SI9UF&#10;c4xsUf5F1UmOYKF2Ew5dAnUtuYg9+G7S6R/dXLfMiNiLF8eao0z2/9Hyd7s1ElmVdJ5RolnnZ/Tz&#10;892vT1/uv/64//6NpNksiNQbW/jYlV5jaJMP+tpcAf9oiYZVy3QjYrE3e+MJHG5FACW/oYJhjc+2&#10;6d9C5cPY1kEUbaixI7WS5s2IjcaH0Qj5vFBkiFPbH6cmBke4v0znZ/nJaU4J977s5HSWx7EmrAi8&#10;AW3QutcCOhJ+SmodMtm0bgVa+wUBTGMVbHdlXaj6CRDAGi6lUnFPlCZ9Sc/yLI8AC0pWwRnCLDab&#10;lUKyY2HT4hcl8J7nYQhbXR2SKB1wIi7pmPlRooPeG6j2a3zU0S9ArG1c1rBhz+2o9tOTWj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P1q9YAAAAHAQAADwAAAAAAAAABACAAAAA4AAAAZHJzL2Rv&#10;d25yZXYueG1sUEsBAhQAFAAAAAgAh07iQNl4U+btAQAAmgMAAA4AAAAAAAAAAQAgAAAAOw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0.0446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0.0223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0.0102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-0.0173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0.0167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0.0167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0.0084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0.0186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0.0093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-0.0079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-0.0157 </w:t>
            </w:r>
          </w:p>
        </w:tc>
      </w:tr>
      <w:tr>
        <w:tblPrEx>
          <w:tblCellMar>
            <w:top w:w="0" w:type="dxa"/>
            <w:left w:w="28" w:type="dxa"/>
            <w:bottom w:w="0" w:type="dxa"/>
            <w:right w:w="28" w:type="dxa"/>
          </w:tblCellMar>
        </w:tblPrEx>
        <w:trPr>
          <w:trHeight w:val="20" w:hRule="atLeast"/>
          <w:jc w:val="center"/>
        </w:trPr>
        <w:tc>
          <w:tcPr>
            <w:tcW w:w="1555"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0.0136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头道桥镇三级商服用地影响因素指标说明表</w:t>
      </w:r>
    </w:p>
    <w:tbl>
      <w:tblPr>
        <w:tblStyle w:val="37"/>
        <w:tblW w:w="9231" w:type="dxa"/>
        <w:jc w:val="center"/>
        <w:tblLayout w:type="fixed"/>
        <w:tblCellMar>
          <w:top w:w="0" w:type="dxa"/>
          <w:left w:w="0" w:type="dxa"/>
          <w:bottom w:w="0" w:type="dxa"/>
          <w:right w:w="0" w:type="dxa"/>
        </w:tblCellMar>
      </w:tblPr>
      <w:tblGrid>
        <w:gridCol w:w="279"/>
        <w:gridCol w:w="709"/>
        <w:gridCol w:w="1559"/>
        <w:gridCol w:w="1134"/>
        <w:gridCol w:w="1559"/>
        <w:gridCol w:w="1401"/>
        <w:gridCol w:w="1434"/>
        <w:gridCol w:w="1156"/>
      </w:tblGrid>
      <w:tr>
        <w:tblPrEx>
          <w:tblCellMar>
            <w:top w:w="0" w:type="dxa"/>
            <w:left w:w="0" w:type="dxa"/>
            <w:bottom w:w="0" w:type="dxa"/>
            <w:right w:w="0" w:type="dxa"/>
          </w:tblCellMar>
        </w:tblPrEx>
        <w:trPr>
          <w:trHeight w:val="20" w:hRule="atLeast"/>
          <w:jc w:val="center"/>
        </w:trPr>
        <w:tc>
          <w:tcPr>
            <w:tcW w:w="2547"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6000" behindDoc="0" locked="0" layoutInCell="1" allowOverlap="1">
                      <wp:simplePos x="0" y="0"/>
                      <wp:positionH relativeFrom="column">
                        <wp:posOffset>734060</wp:posOffset>
                      </wp:positionH>
                      <wp:positionV relativeFrom="paragraph">
                        <wp:posOffset>8890</wp:posOffset>
                      </wp:positionV>
                      <wp:extent cx="828675" cy="533400"/>
                      <wp:effectExtent l="0" t="0" r="28575" b="19050"/>
                      <wp:wrapNone/>
                      <wp:docPr id="79" name="自选图形 12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28675" cy="533400"/>
                              </a:xfrm>
                              <a:prstGeom prst="straightConnector1">
                                <a:avLst/>
                              </a:prstGeom>
                              <a:noFill/>
                              <a:ln w="9525">
                                <a:solidFill>
                                  <a:srgbClr val="000000"/>
                                </a:solidFill>
                                <a:round/>
                              </a:ln>
                              <a:effectLst/>
                            </wps:spPr>
                            <wps:bodyPr/>
                          </wps:wsp>
                        </a:graphicData>
                      </a:graphic>
                    </wp:anchor>
                  </w:drawing>
                </mc:Choice>
                <mc:Fallback>
                  <w:pict>
                    <v:shape id="自选图形 127" o:spid="_x0000_s1026" o:spt="32" type="#_x0000_t32" style="position:absolute;left:0pt;flip:x y;margin-left:57.8pt;margin-top:0.7pt;height:42pt;width:65.25pt;z-index:251776000;mso-width-relative:page;mso-height-relative:page;" filled="f" stroked="t" coordsize="21600,21600" o:gfxdata="UEsFBgAAAAAAAAAAAAAAAAAAAAAAAFBLAwQKAAAAAACHTuJAAAAAAAAAAAAAAAAABAAAAGRycy9Q&#10;SwMEFAAAAAgAh07iQNeldR7YAAAACAEAAA8AAABkcnMvZG93bnJldi54bWxNj0FLw0AQhe+C/2EZ&#10;wYvYTUoaS8ymB8Fi8SC24nmSHZNgdjZkt0311zue9DaP93jzvXJzdoM60RR6zwbSRQKKuPG259bA&#10;2+Hxdg0qRGSLg2cy8EUBNtXlRYmF9TO/0mkfWyUlHAo00MU4FlqHpiOHYeFHYvE+/OQwipxabSec&#10;pdwNepkkuXbYs3zocKSHjprP/dEZyPJDvZ0b2t3pl+/ZPj+9b3c3zpjrqzS5BxXpHP/C8Isv6FAJ&#10;U+2PbIMaRKerXKJyZKDEX2Z5Cqo2sF5loKtS/x9Q/QBQSwMEFAAAAAgAh07iQMXMLlHsAQAAmQMA&#10;AA4AAABkcnMvZTJvRG9jLnhtbK1TwW4TMRC9I/EPlu9kky1p0lU2PaQqHApEasvd8Xp3LWyPNXay&#10;mxs3xDdw48g/wN9Ugr+o7WzTAjfEHqwdz7w3M2/Gi/NeK7IT6CSYkk5GY0qE4VBJ05T09ubyxZwS&#10;55mpmAIjSroXjp4vnz9bdLYQObSgKoEkkBhXdLakrfe2yDLHW6GZG4EVJjhrQM18MLHJKmRdYNcq&#10;y8fj06wDrCwCF86F24uDky4Tf10L7t/VtROeqJKG2nw6MZ2beGbLBSsaZLaVfCiD/UMVmkkTkh6p&#10;LphnZIvyLyotOYKD2o846AzqWnKRegjdTMZ/dHPdMitSL0EcZ48yuf9Hy9/u1khkVdLZGSWG6TCj&#10;n5++/fr4+e7Lj7vvX8kkn0WROuuKELsya4xt8t5c2yvgHxwxsGqZaUQq9mZvA4HHrYig7DdUNJwN&#10;2TbdG6hCGNt6SKL1NWpSK2lfD9hkvB+MmC8IRfo0tf1xaqL3hIfLeT4/nU0p4cE1PTl5OU5TzVgR&#10;aSPYovOvBGgSf0rqPDLZtH4FxoT9AJykItjuyvlY9CMggg1cSqXSmihDupKeTfNpAjhQsorOGOaw&#10;2awUkh2Li5a+pEDwPA1D2JrqkESZiBNpR4fMDwod5N5AtV/jg4xh/qm2YVfjgj21k9iPL2p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eldR7YAAAACAEAAA8AAAAAAAAAAQAgAAAAOAAAAGRycy9k&#10;b3ducmV2LnhtbFBLAQIUABQAAAAIAIdO4kDFzC5R7AEAAJkDAAAOAAAAAAAAAAEAIAAAAD0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7024" behindDoc="0" locked="0" layoutInCell="1" allowOverlap="1">
                      <wp:simplePos x="0" y="0"/>
                      <wp:positionH relativeFrom="column">
                        <wp:posOffset>-52070</wp:posOffset>
                      </wp:positionH>
                      <wp:positionV relativeFrom="paragraph">
                        <wp:posOffset>67310</wp:posOffset>
                      </wp:positionV>
                      <wp:extent cx="1533525" cy="311785"/>
                      <wp:effectExtent l="0" t="0" r="28575" b="31115"/>
                      <wp:wrapNone/>
                      <wp:docPr id="78" name="自选图形 12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33525" cy="311785"/>
                              </a:xfrm>
                              <a:prstGeom prst="straightConnector1">
                                <a:avLst/>
                              </a:prstGeom>
                              <a:noFill/>
                              <a:ln w="9525">
                                <a:solidFill>
                                  <a:srgbClr val="000000"/>
                                </a:solidFill>
                                <a:round/>
                              </a:ln>
                              <a:effectLst/>
                            </wps:spPr>
                            <wps:bodyPr/>
                          </wps:wsp>
                        </a:graphicData>
                      </a:graphic>
                    </wp:anchor>
                  </w:drawing>
                </mc:Choice>
                <mc:Fallback>
                  <w:pict>
                    <v:shape id="自选图形 128" o:spid="_x0000_s1026" o:spt="32" type="#_x0000_t32" style="position:absolute;left:0pt;flip:x y;margin-left:-4.1pt;margin-top:5.3pt;height:24.55pt;width:120.75pt;z-index:251777024;mso-width-relative:page;mso-height-relative:page;" filled="f" stroked="t" coordsize="21600,21600" o:gfxdata="UEsFBgAAAAAAAAAAAAAAAAAAAAAAAFBLAwQKAAAAAACHTuJAAAAAAAAAAAAAAAAABAAAAGRycy9Q&#10;SwMEFAAAAAgAh07iQHDB2VPZAAAACAEAAA8AAABkcnMvZG93bnJldi54bWxNj8FOwzAQRO9I/IO1&#10;SFxQazeBtIQ4PSBRUfWAaBFnJ16SiHgdxW5T+HqWExxnZzTztlifXS9OOIbOk4bFXIFAqr3tqNHw&#10;dniarUCEaMia3hNq+MIA6/LyojC59RO94mkfG8ElFHKjoY1xyKUMdYvOhLkfkNj78KMzkeXYSDua&#10;ictdLxOlMulMR7zQmgEfW6w/90en4TY7VJupxu1SvnxPdvf8vtneOK2vrxbqAUTEc/wLwy8+o0PJ&#10;TJU/kg2i1zBbJZzku8pAsJ+kaQqi0nB3vwRZFvL/A+UPUEsDBBQAAAAIAIdO4kAfXgUc6AEAAJoD&#10;AAAOAAAAZHJzL2Uyb0RvYy54bWytU8GO0zAQvSPxD5bvNE2rsiVquoeuFg4LVNqFu+vYiYXtscZu&#10;0964Ib6BG8f9B/ibleAvsN1sl4UbIgcrk/G89+bNZHG+N5rsBHoFtqblaEyJsBwaZduavru5fDan&#10;xAdmG6bBipoehKfny6dPFr2rxAQ60I1AEkGsr3pX0y4EVxWF550wzI/ACRuTEtCwEENsiwZZH9GN&#10;Libj8fOiB2wcAhfex68XxyRdZnwpBQ9vpfQiEF3TqC3kE/O5SWexXLCqReY6xQcZ7B9UGKZsJD1B&#10;XbDAyBbVX1BGcQQPMow4mAKkVFzkHmI35fiPbq475kTuJZrj3ckm//9g+ZvdGolqanoWJ2WZiTP6&#10;8en258fPd1++3337SsrJPJnUO1/Fuyu7xtQm39trdwX8gycWVh2zrchibw4uAgTcilRUPKpKgXeR&#10;bdO/hiZeY9sA2bS9REOkVu7VUJuD90OQ+KJRZJ+ndjhNTewD4fFjOZtOZ5MZJTzmpmV5Np9lclYl&#10;3FTt0IeXAgxJLzX1AZlqu7ACa+OCAJZZBdtd+ZBUPxSkYguXSuu8J9qSvqYvElnKeNCqSckcYLtZ&#10;aSQ7ljYtP4OKR9cQtrY5kmib6kRe0oH53qKj3xtoDmu89zEuQNY2LGvasN/j7PbDL7X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DB2VPZAAAACAEAAA8AAAAAAAAAAQAgAAAAOAAAAGRycy9kb3du&#10;cmV2LnhtbFBLAQIUABQAAAAIAIdO4kAfXgUc6AEAAJo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0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27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米</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160</w:t>
            </w:r>
            <w:r>
              <w:rPr>
                <w:rFonts w:hint="eastAsia" w:ascii="仿宋" w:hAnsi="仿宋" w:eastAsia="仿宋"/>
                <w:color w:val="000000"/>
                <w:kern w:val="0"/>
                <w:sz w:val="21"/>
                <w:szCs w:val="21"/>
                <w:u w:color="000000"/>
              </w:rPr>
              <w:t>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6</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邻近混合型主干道</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邻近混合型次干道</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邻近生活型主干道</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邻近生活型次干道</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00)米</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00)米</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16</w:t>
            </w:r>
            <w:r>
              <w:rPr>
                <w:rFonts w:hint="eastAsia" w:ascii="仿宋" w:hAnsi="仿宋" w:eastAsia="仿宋"/>
                <w:color w:val="000000"/>
                <w:kern w:val="0"/>
                <w:sz w:val="21"/>
                <w:szCs w:val="21"/>
                <w:u w:color="000000"/>
              </w:rPr>
              <w:t>00)米</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16</w:t>
            </w:r>
            <w:r>
              <w:rPr>
                <w:rFonts w:hint="eastAsia" w:ascii="仿宋" w:hAnsi="仿宋" w:eastAsia="仿宋"/>
                <w:color w:val="000000"/>
                <w:kern w:val="0"/>
                <w:sz w:val="21"/>
                <w:szCs w:val="21"/>
                <w:u w:color="000000"/>
              </w:rPr>
              <w:t>00,</w:t>
            </w:r>
            <w:r>
              <w:rPr>
                <w:rFonts w:ascii="仿宋" w:hAnsi="仿宋" w:eastAsia="仿宋"/>
                <w:color w:val="000000"/>
                <w:kern w:val="0"/>
                <w:sz w:val="21"/>
                <w:szCs w:val="21"/>
                <w:u w:color="000000"/>
              </w:rPr>
              <w:t>19</w:t>
            </w:r>
            <w:r>
              <w:rPr>
                <w:rFonts w:hint="eastAsia" w:ascii="仿宋" w:hAnsi="仿宋" w:eastAsia="仿宋"/>
                <w:color w:val="000000"/>
                <w:kern w:val="0"/>
                <w:sz w:val="21"/>
                <w:szCs w:val="21"/>
                <w:u w:color="000000"/>
              </w:rPr>
              <w:t>00)米</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w:t>
            </w:r>
            <w:r>
              <w:rPr>
                <w:rFonts w:hint="eastAsia" w:ascii="仿宋" w:hAnsi="仿宋" w:eastAsia="仿宋"/>
                <w:color w:val="000000"/>
                <w:kern w:val="0"/>
                <w:sz w:val="21"/>
                <w:szCs w:val="21"/>
                <w:u w:color="000000"/>
              </w:rPr>
              <w:t>00米</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70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27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1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 xml:space="preserve">300 </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250-350</w:t>
            </w:r>
            <w:r>
              <w:rPr>
                <w:rFonts w:hint="eastAsia" w:ascii="仿宋" w:hAnsi="仿宋" w:eastAsia="仿宋"/>
                <w:color w:val="000000"/>
                <w:kern w:val="0"/>
                <w:sz w:val="21"/>
                <w:szCs w:val="21"/>
                <w:u w:color="000000"/>
              </w:rPr>
              <w:t>）</w:t>
            </w:r>
          </w:p>
        </w:tc>
        <w:tc>
          <w:tcPr>
            <w:tcW w:w="140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200-250</w:t>
            </w:r>
            <w:r>
              <w:rPr>
                <w:rFonts w:hint="eastAsia" w:ascii="仿宋" w:hAnsi="仿宋" w:eastAsia="仿宋"/>
                <w:color w:val="000000"/>
                <w:kern w:val="0"/>
                <w:sz w:val="21"/>
                <w:szCs w:val="21"/>
                <w:u w:color="000000"/>
              </w:rPr>
              <w:t>）</w:t>
            </w:r>
          </w:p>
        </w:tc>
        <w:tc>
          <w:tcPr>
            <w:tcW w:w="1434"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150-200</w:t>
            </w:r>
            <w:r>
              <w:rPr>
                <w:rFonts w:hint="eastAsia" w:ascii="仿宋" w:hAnsi="仿宋" w:eastAsia="仿宋"/>
                <w:color w:val="000000"/>
                <w:kern w:val="0"/>
                <w:sz w:val="21"/>
                <w:szCs w:val="21"/>
                <w:u w:color="000000"/>
              </w:rPr>
              <w:t>）</w:t>
            </w:r>
          </w:p>
        </w:tc>
        <w:tc>
          <w:tcPr>
            <w:tcW w:w="11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150</w:t>
            </w:r>
          </w:p>
        </w:tc>
      </w:tr>
      <w:tr>
        <w:tblPrEx>
          <w:tblCellMar>
            <w:top w:w="0" w:type="dxa"/>
            <w:left w:w="0" w:type="dxa"/>
            <w:bottom w:w="0" w:type="dxa"/>
            <w:right w:w="0" w:type="dxa"/>
          </w:tblCellMar>
        </w:tblPrEx>
        <w:trPr>
          <w:trHeight w:val="20" w:hRule="atLeast"/>
          <w:jc w:val="center"/>
        </w:trPr>
        <w:tc>
          <w:tcPr>
            <w:tcW w:w="988"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988"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1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55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01"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4"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1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kern w:val="0"/>
          <w:szCs w:val="28"/>
          <w:u w:color="000000"/>
        </w:rPr>
      </w:pPr>
      <w:r>
        <mc:AlternateContent>
          <mc:Choice Requires="wps">
            <w:drawing>
              <wp:anchor distT="0" distB="0" distL="114300" distR="114300" simplePos="0" relativeHeight="251702272" behindDoc="0" locked="0" layoutInCell="1" allowOverlap="1">
                <wp:simplePos x="0" y="0"/>
                <wp:positionH relativeFrom="column">
                  <wp:posOffset>833120</wp:posOffset>
                </wp:positionH>
                <wp:positionV relativeFrom="paragraph">
                  <wp:posOffset>301625</wp:posOffset>
                </wp:positionV>
                <wp:extent cx="967740" cy="510540"/>
                <wp:effectExtent l="0" t="0" r="23495" b="23495"/>
                <wp:wrapNone/>
                <wp:docPr id="58" name="自选图形 12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67563" cy="510363"/>
                        </a:xfrm>
                        <a:prstGeom prst="straightConnector1">
                          <a:avLst/>
                        </a:prstGeom>
                        <a:noFill/>
                        <a:ln w="9525">
                          <a:solidFill>
                            <a:srgbClr val="000000"/>
                          </a:solidFill>
                          <a:round/>
                        </a:ln>
                        <a:effectLst/>
                      </wps:spPr>
                      <wps:bodyPr/>
                    </wps:wsp>
                  </a:graphicData>
                </a:graphic>
              </wp:anchor>
            </w:drawing>
          </mc:Choice>
          <mc:Fallback>
            <w:pict>
              <v:shape id="自选图形 129" o:spid="_x0000_s1026" o:spt="32" type="#_x0000_t32" style="position:absolute;left:0pt;flip:x y;margin-left:65.6pt;margin-top:23.75pt;height:40.2pt;width:76.2pt;z-index:251702272;mso-width-relative:page;mso-height-relative:page;" filled="f" stroked="t" coordsize="21600,21600" o:gfxdata="UEsFBgAAAAAAAAAAAAAAAAAAAAAAAFBLAwQKAAAAAACHTuJAAAAAAAAAAAAAAAAABAAAAGRycy9Q&#10;SwMEFAAAAAgAh07iQHG089bZAAAACgEAAA8AAABkcnMvZG93bnJldi54bWxNj0FPg0AQhe8m/Q+b&#10;aeLF2AVqoSJLDyY2Nh5MW+N5YUcgsrOE3Zbqr3c86fHlvXzzTbG52F6ccfSdIwXxIgKBVDvTUaPg&#10;7fh0uwbhgyaje0eo4As9bMrZVaFz4yba4/kQGsEQ8rlW0IYw5FL6ukWr/cINSNx9uNHqwHFspBn1&#10;xHDbyySKUml1R3yh1QM+tlh/Hk5WwV16rLZTjbtMvn5P5uX5fbu7sUpdz+PoAUTAS/gbw68+q0PJ&#10;TpU7kfGi57yME54yLFuB4EGyXqYgKm6S7B5kWcj/L5Q/UEsDBBQAAAAIAIdO4kB8hycM5wEAAJkD&#10;AAAOAAAAZHJzL2Uyb0RvYy54bWytU82O0zAQviPxDpbvNElXLWzUdA9dLRwWqLQLd9dxEgvHY43d&#10;pr1xQzwDN468A7zNSvAWjN1sYeGGyGHk+fm++c3iYt8btlPoNdiKF5OcM2Ul1Nq2FX9ze/XkGWc+&#10;CFsLA1ZV/KA8v1g+frQYXKmm0IGpFTIisb4cXMW7EFyZZV52qhd+Ak5ZcjaAvQikYpvVKAZi7002&#10;zfN5NgDWDkEq78l6eXTyZeJvGiXD66bxKjBTcaotJIlJbqLMlgtRtihcp+VYhviHKnqhLSU9UV2K&#10;INgW9V9UvZYIHpowkdBn0DRaqtQDdVPkf3Rz0wmnUi80HO9OY/L/j1a+2q2R6briM9qUFT3t6PuH&#10;Lz/ef7z79O3u62dWTM/jkAbnS4pd2TXGNuXe3rhrkO88s7DqhG1VKvb24Igg4FZFUPYAFRXvKNtm&#10;eAk1hYltgDS0fYM9a4x2L0ZsUt6OSsxHg2L7tLXDaWtqH5gk4/n86Wx+xpkk16zIz+gdc4sy0kaw&#10;Qx+eK+hZfFTcBxS67cIKrKX7ACxSEWJ37cMReA+IYAtX2hiyi9JYNlC62XSWAB6MrqMz+jy2m5VB&#10;thPx0NI3VvEgDGFr62MSYyNOpRsdM99P6DjuDdSHNcbgaKf9p6bGW40H9rueon79Uc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cbTz1tkAAAAKAQAADwAAAAAAAAABACAAAAA4AAAAZHJzL2Rvd25y&#10;ZXYueG1sUEsBAhQAFAAAAAgAh07iQHyHJwznAQAAmQMAAA4AAAAAAAAAAQAgAAAAPg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6</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头道桥镇三级商服用地基准地价修正系数表</w:t>
      </w:r>
    </w:p>
    <w:tbl>
      <w:tblPr>
        <w:tblStyle w:val="37"/>
        <w:tblW w:w="9231" w:type="dxa"/>
        <w:jc w:val="center"/>
        <w:tblLayout w:type="fixed"/>
        <w:tblCellMar>
          <w:top w:w="0" w:type="dxa"/>
          <w:left w:w="28" w:type="dxa"/>
          <w:bottom w:w="0" w:type="dxa"/>
          <w:right w:w="28" w:type="dxa"/>
        </w:tblCellMar>
      </w:tblPr>
      <w:tblGrid>
        <w:gridCol w:w="391"/>
        <w:gridCol w:w="1164"/>
        <w:gridCol w:w="1530"/>
        <w:gridCol w:w="1229"/>
        <w:gridCol w:w="1229"/>
        <w:gridCol w:w="1229"/>
        <w:gridCol w:w="1229"/>
        <w:gridCol w:w="1230"/>
      </w:tblGrid>
      <w:tr>
        <w:tblPrEx>
          <w:tblCellMar>
            <w:top w:w="0" w:type="dxa"/>
            <w:left w:w="28" w:type="dxa"/>
            <w:bottom w:w="0" w:type="dxa"/>
            <w:right w:w="28" w:type="dxa"/>
          </w:tblCellMar>
        </w:tblPrEx>
        <w:trPr>
          <w:trHeight w:val="20" w:hRule="atLeast"/>
          <w:jc w:val="center"/>
        </w:trPr>
        <w:tc>
          <w:tcPr>
            <w:tcW w:w="3085"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79072" behindDoc="0" locked="0" layoutInCell="1" allowOverlap="1">
                      <wp:simplePos x="0" y="0"/>
                      <wp:positionH relativeFrom="column">
                        <wp:posOffset>23495</wp:posOffset>
                      </wp:positionH>
                      <wp:positionV relativeFrom="paragraph">
                        <wp:posOffset>57785</wp:posOffset>
                      </wp:positionV>
                      <wp:extent cx="1924050" cy="333375"/>
                      <wp:effectExtent l="0" t="0" r="19050" b="28575"/>
                      <wp:wrapNone/>
                      <wp:docPr id="76" name="自选图形 13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24050" cy="333375"/>
                              </a:xfrm>
                              <a:prstGeom prst="straightConnector1">
                                <a:avLst/>
                              </a:prstGeom>
                              <a:noFill/>
                              <a:ln w="9525">
                                <a:solidFill>
                                  <a:srgbClr val="000000"/>
                                </a:solidFill>
                                <a:round/>
                              </a:ln>
                              <a:effectLst/>
                            </wps:spPr>
                            <wps:bodyPr/>
                          </wps:wsp>
                        </a:graphicData>
                      </a:graphic>
                    </wp:anchor>
                  </w:drawing>
                </mc:Choice>
                <mc:Fallback>
                  <w:pict>
                    <v:shape id="自选图形 130" o:spid="_x0000_s1026" o:spt="32" type="#_x0000_t32" style="position:absolute;left:0pt;flip:x y;margin-left:1.85pt;margin-top:4.55pt;height:26.25pt;width:151.5pt;z-index:251779072;mso-width-relative:page;mso-height-relative:page;" filled="f" stroked="t" coordsize="21600,21600" o:gfxdata="UEsFBgAAAAAAAAAAAAAAAAAAAAAAAFBLAwQKAAAAAACHTuJAAAAAAAAAAAAAAAAABAAAAGRycy9Q&#10;SwMEFAAAAAgAh07iQNNGOh3WAAAABgEAAA8AAABkcnMvZG93bnJldi54bWxNjsFOwzAQRO9I/IO1&#10;SFwQtUORW0KcHpCoqDhUtKhnJ16SiHgdxW5T+HqWExxHM3rzitXZ9+KEY+wCGchmCgRSHVxHjYH3&#10;/fPtEkRMlpztA6GBL4ywKi8vCpu7MNEbnnapEQyhmFsDbUpDLmWsW/Q2zsKAxN1HGL1NHMdGutFO&#10;DPe9vFNKS2874ofWDvjUYv25O3oD93pfracaNwu5/Z7c68thvbnxxlxfZeoRRMJz+hvDrz6rQ8lO&#10;VTiSi6I3MF/w0MBDBoLbudKcKwM60yDLQv7XL38AUEsDBBQAAAAIAIdO4kD6Fb1q6gEAAJoDAAAO&#10;AAAAZHJzL2Uyb0RvYy54bWytU8Fu1DAQvSPxD5bvbDZbtqXRZnvYqnAosFILd6/jJBaOx5rxbrI3&#10;bohv4NYj/wB/Uwn+AttNtxRuCB+sjGfmzcybl8XZ0Bm2U0gabMnzyZQzZSVU2jYlf3d98ewFZ+SF&#10;rYQBq0q+V8TPlk+fLHpXqBm0YCqFLIBYKnpX8tZ7V2QZyVZ1gibglA3OGrATPpjYZBWKPqB3JptN&#10;p8dZD1g5BKmIwuv5nZMvE35dK+nf1jUpz0zJQ28+3ZjuTbyz5UIUDQrXajm2If6hi05oG4oeoM6F&#10;F2yL+i+oTksEgtpPJHQZ1LWWKs0Qpsmnf0xz1Qqn0iyBHHIHmuj/wco3uzUyXZX85JgzK7qwox+f&#10;vv78+Pn2y/fbbzcsP0ok9Y6KELuya4xjysFeuUuQH4hZWLXCNio1e713AcDjVkVms0dZ0SAXqm36&#10;11CFMLH1kEgbauxYbbR7NeYm4/1oxHqBKDakre0PW1ODZzI85qez59N5WK4MvqNwTuapuCgibsx2&#10;SP6lgo7Fj5KTR6Gb1q/A2iAQwDx1IXaX5GPXDwkx2cKFNibpxFjWl/x0PpunBAKjq+iMYYTNZmWQ&#10;7URUWjpjF4/CELa2uitibMxTSaRj5XuKonyp2EC1X+M9j0EAqbdRrFFhv9uJ7Ydfa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0Y6HdYAAAAGAQAADwAAAAAAAAABACAAAAA4AAAAZHJzL2Rvd25y&#10;ZXYueG1sUEsBAhQAFAAAAAgAh07iQPoVvWrqAQAAmg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2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28" w:type="dxa"/>
            <w:bottom w:w="0" w:type="dxa"/>
            <w:right w:w="28" w:type="dxa"/>
          </w:tblCellMar>
        </w:tblPrEx>
        <w:trPr>
          <w:trHeight w:val="20" w:hRule="atLeast"/>
          <w:jc w:val="center"/>
        </w:trPr>
        <w:tc>
          <w:tcPr>
            <w:tcW w:w="39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商服繁华度</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0.0300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-0.0133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CellMar>
            <w:top w:w="0" w:type="dxa"/>
            <w:left w:w="28" w:type="dxa"/>
            <w:bottom w:w="0" w:type="dxa"/>
            <w:right w:w="28" w:type="dxa"/>
          </w:tblCellMar>
        </w:tblPrEx>
        <w:trPr>
          <w:trHeight w:val="20" w:hRule="atLeast"/>
          <w:jc w:val="center"/>
        </w:trPr>
        <w:tc>
          <w:tcPr>
            <w:tcW w:w="39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-0.0067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-0.0133 </w:t>
            </w:r>
          </w:p>
        </w:tc>
      </w:tr>
      <w:tr>
        <w:tblPrEx>
          <w:tblCellMar>
            <w:top w:w="0" w:type="dxa"/>
            <w:left w:w="28" w:type="dxa"/>
            <w:bottom w:w="0" w:type="dxa"/>
            <w:right w:w="28" w:type="dxa"/>
          </w:tblCellMar>
        </w:tblPrEx>
        <w:trPr>
          <w:trHeight w:val="20" w:hRule="atLeast"/>
          <w:jc w:val="center"/>
        </w:trPr>
        <w:tc>
          <w:tcPr>
            <w:tcW w:w="1555"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0.0091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0.0091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0.0046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-0.0097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r>
      <w:tr>
        <w:tblPrEx>
          <w:tblCellMar>
            <w:top w:w="0" w:type="dxa"/>
            <w:left w:w="28" w:type="dxa"/>
            <w:bottom w:w="0" w:type="dxa"/>
            <w:right w:w="28" w:type="dxa"/>
          </w:tblCellMar>
        </w:tblPrEx>
        <w:trPr>
          <w:trHeight w:val="20" w:hRule="atLeast"/>
          <w:jc w:val="center"/>
        </w:trPr>
        <w:tc>
          <w:tcPr>
            <w:tcW w:w="1555"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0.0078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0.0039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29"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b/>
          <w:bCs/>
          <w:sz w:val="24"/>
          <w:szCs w:val="24"/>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7  </w:t>
      </w:r>
      <w:r>
        <w:rPr>
          <w:rFonts w:hint="eastAsia" w:ascii="仿宋" w:hAnsi="仿宋" w:eastAsia="仿宋" w:cs="仿宋"/>
          <w:b/>
          <w:bCs/>
          <w:sz w:val="24"/>
          <w:szCs w:val="24"/>
          <w:u w:color="000000"/>
        </w:rPr>
        <w:t xml:space="preserve">  头道桥镇一级住宅用地影响因素指标说明表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1120" behindDoc="0" locked="0" layoutInCell="1" allowOverlap="1">
                      <wp:simplePos x="0" y="0"/>
                      <wp:positionH relativeFrom="column">
                        <wp:posOffset>1123950</wp:posOffset>
                      </wp:positionH>
                      <wp:positionV relativeFrom="paragraph">
                        <wp:posOffset>-10795</wp:posOffset>
                      </wp:positionV>
                      <wp:extent cx="666750" cy="542925"/>
                      <wp:effectExtent l="0" t="0" r="19050" b="28575"/>
                      <wp:wrapNone/>
                      <wp:docPr id="67" name="自选图形 13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66750" cy="542925"/>
                              </a:xfrm>
                              <a:prstGeom prst="straightConnector1">
                                <a:avLst/>
                              </a:prstGeom>
                              <a:noFill/>
                              <a:ln w="9525">
                                <a:solidFill>
                                  <a:srgbClr val="000000"/>
                                </a:solidFill>
                                <a:round/>
                              </a:ln>
                              <a:effectLst/>
                            </wps:spPr>
                            <wps:bodyPr/>
                          </wps:wsp>
                        </a:graphicData>
                      </a:graphic>
                    </wp:anchor>
                  </w:drawing>
                </mc:Choice>
                <mc:Fallback>
                  <w:pict>
                    <v:shape id="自选图形 139" o:spid="_x0000_s1026" o:spt="32" type="#_x0000_t32" style="position:absolute;left:0pt;flip:x y;margin-left:88.5pt;margin-top:-0.85pt;height:42.75pt;width:52.5pt;z-index:251781120;mso-width-relative:page;mso-height-relative:page;" filled="f" stroked="t" coordsize="21600,21600" o:gfxdata="UEsFBgAAAAAAAAAAAAAAAAAAAAAAAFBLAwQKAAAAAACHTuJAAAAAAAAAAAAAAAAABAAAAGRycy9Q&#10;SwMEFAAAAAgAh07iQHEzBdHZAAAACQEAAA8AAABkcnMvZG93bnJldi54bWxNj8FOwzAQRO9I/Qdr&#10;K3FBrZOAmijE6aESFVUPiBZxduIliRqvo9htCl/f5QTHmR3NvinWV9uLC46+c6QgXkYgkGpnOmoU&#10;fBxfFhkIHzQZ3TtCBd/oYV3O7gqdGzfRO14OoRFcQj7XCtoQhlxKX7dotV+6AYlvX260OrAcG2lG&#10;PXG57WUSRStpdUf8odUDblqsT4ezVfC0OlbbqcZdKt9+JrN//dzuHqxS9/M4egYR8Br+wvCLz+hQ&#10;MlPlzmS86FmnKW8JChZxCoIDSZawUSnIHjOQZSH/LyhvUEsDBBQAAAAIAIdO4kBeUKLB6AEAAJkD&#10;AAAOAAAAZHJzL2Uyb0RvYy54bWytU8GO0zAQvSPxD5bvNG2hXRo13UNXC4cFKu3C3XWcxMLxWGO3&#10;SW/cEN/AjSP/AH+zEvwFYzfbZeGGyMHKZDzvvXkzWZ73rWF7hV6DLfhkNOZMWQmltnXB395cPnnO&#10;mQ/ClsKAVQU/KM/PV48fLTuXqyk0YEqFjECszztX8CYEl2eZl41qhR+BU5aSFWArAoVYZyWKjtBb&#10;k03H43nWAZYOQSrv6evFMclXCb+qlAxvqsqrwEzBSVtIJ6ZzG89stRR5jcI1Wg4yxD+oaIW2RHqC&#10;uhBBsB3qv6BaLRE8VGEkoc2gqrRUqQfqZjL+o5vrRjiVeiFzvDvZ5P8frHy93yDTZcHnZ5xZ0dKM&#10;fnz8+vPDp9vP32+/fWGTp4toUud8TnfXdoOxTdnba3cF8r1nFtaNsLVKYm8OjgAC7lQsyh5UxcA7&#10;Ytt2r6Cka2IXIJnWV9iyymj3cqhNwbshiHxkFOvT1A6nqak+MEkf5/P52YxmKyk1ezZdTGeJW+QR&#10;NhY79OGFgpbFl4L7gELXTViDtbQfgJMkQuyvfIii7wtisYVLbUxaE2NZV/DFjAhixoPRZUymAOvt&#10;2iDbi7ho6RlUPLiGsLPlkcTYWKfSjg7Mdw4d7d5CedjgnY00/6Rt2NW4YL/Hyez7P2r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EzBdHZAAAACQEAAA8AAAAAAAAAAQAgAAAAOAAAAGRycy9kb3du&#10;cmV2LnhtbFBLAQIUABQAAAAIAIdO4kBeUKLB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2144" behindDoc="0" locked="0" layoutInCell="1" allowOverlap="1">
                      <wp:simplePos x="0" y="0"/>
                      <wp:positionH relativeFrom="column">
                        <wp:posOffset>28575</wp:posOffset>
                      </wp:positionH>
                      <wp:positionV relativeFrom="paragraph">
                        <wp:posOffset>59055</wp:posOffset>
                      </wp:positionV>
                      <wp:extent cx="1724025" cy="314325"/>
                      <wp:effectExtent l="0" t="0" r="28575" b="28575"/>
                      <wp:wrapNone/>
                      <wp:docPr id="68" name="自选图形 14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14325"/>
                              </a:xfrm>
                              <a:prstGeom prst="straightConnector1">
                                <a:avLst/>
                              </a:prstGeom>
                              <a:noFill/>
                              <a:ln w="9525">
                                <a:solidFill>
                                  <a:srgbClr val="000000"/>
                                </a:solidFill>
                                <a:round/>
                              </a:ln>
                              <a:effectLst/>
                            </wps:spPr>
                            <wps:bodyPr/>
                          </wps:wsp>
                        </a:graphicData>
                      </a:graphic>
                    </wp:anchor>
                  </w:drawing>
                </mc:Choice>
                <mc:Fallback>
                  <w:pict>
                    <v:shape id="自选图形 140" o:spid="_x0000_s1026" o:spt="32" type="#_x0000_t32" style="position:absolute;left:0pt;flip:x y;margin-left:2.25pt;margin-top:4.65pt;height:24.75pt;width:135.75pt;z-index:251782144;mso-width-relative:page;mso-height-relative:page;" filled="f" stroked="t" coordsize="21600,21600" o:gfxdata="UEsFBgAAAAAAAAAAAAAAAAAAAAAAAFBLAwQKAAAAAACHTuJAAAAAAAAAAAAAAAAABAAAAGRycy9Q&#10;SwMEFAAAAAgAh07iQNJ4Wb/XAAAABgEAAA8AAABkcnMvZG93bnJldi54bWxNj0FLw0AQhe+C/2EZ&#10;wYvYTatNY8ymB8Fi8SC24nmSHZNgdjZkt0311zue9Di8x/e+KdYn16sjjaHzbGA+S0AR19523Bh4&#10;2z9eZ6BCRLbYeyYDXxRgXZ6fFZhbP/ErHXexUQLhkKOBNsYh1zrULTkMMz8QS/bhR4dRzrHRdsRJ&#10;4K7XiyRJtcOOZaHFgR5aqj93B2fgNt1Xm6mm7Uq/fE/2+el9s71yxlxezJN7UJFO8a8Mv/qiDqU4&#10;Vf7ANqheGEspGri7ASXpYpXKZ5WBZZaBLgv9X7/8AVBLAwQUAAAACACHTuJADCwWfOkBAACaAwAA&#10;DgAAAGRycy9lMm9Eb2MueG1srVPNjtMwEL4j8Q6W7zRNt7tA1HQPXS0cFqi0C3fXcRILx2ON3Sa9&#10;cUM8A7c98g7wNivBWzB2s4WFGyIHy59n5pu/L4vzoTNsp9BrsCXPJ1POlJVQaduU/O3N5ZNnnPkg&#10;bCUMWFXyvfL8fPn40aJ3hZpBC6ZSyIjE+qJ3JW9DcEWWedmqTvgJOGXJWAN2IhDEJqtQ9MTemWw2&#10;nZ5lPWDlEKTynl4vDka+TPx1rWR4U9deBWZKTrWFdGI6N/HMlgtRNChcq+VYhviHKjqhLSU9Ul2I&#10;INgW9V9UnZYIHuowkdBlUNdaqtQDdZNP/+jmuhVOpV5oON4dx+T/H618vVsj01XJz2hTVnS0o+8f&#10;v/z48Onu87e7r7csn6ch9c4X5Luya4xtysFeuyuQ7z2zsGqFbVQq9mbviCDgVsXJZg+iIvCOsm36&#10;V1CRm9gGSEMbauxYbbR7OcYm8G4EMR8Nig1pa/vj1tQQmKTH/OlsPp2dcibJdpLPT+gek4si8sZo&#10;hz68UNCxeCm5Dyh004YVWEsCAcxTFWJ35cMh8D4gBlu41MYknRjL+pI/P6UE0eLB6CoaE8BmszLI&#10;diIqLX1jFQ/cELa2OiQxNsapJNIx8/2Ionx9sYFqv8boHBEJIDU1ijUq7HecvH79Us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nhZv9cAAAAGAQAADwAAAAAAAAABACAAAAA4AAAAZHJzL2Rvd25y&#10;ZXYueG1sUEsBAhQAFAAAAAgAh07iQAwsFnzpAQAAmgMAAA4AAAAAAAAAAQAgAAAAPA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8</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8</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头道桥镇一级住宅用地基准地价修正系数表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2040" w:firstLineChars="850"/>
              <w:jc w:val="right"/>
              <w:rPr>
                <w:rFonts w:ascii="仿宋" w:hAnsi="仿宋" w:eastAsia="仿宋"/>
                <w:color w:val="000000"/>
                <w:kern w:val="0"/>
                <w:sz w:val="21"/>
                <w:szCs w:val="21"/>
                <w:u w:color="000000"/>
              </w:rPr>
            </w:pPr>
            <w:r>
              <w:rPr>
                <w:rFonts w:ascii="仿宋" w:hAnsi="仿宋" w:eastAsia="仿宋"/>
                <w:color w:val="000000"/>
                <w:kern w:val="0"/>
                <w:sz w:val="24"/>
                <w:szCs w:val="21"/>
                <w:u w:color="000000"/>
              </w:rPr>
              <mc:AlternateContent>
                <mc:Choice Requires="wps">
                  <w:drawing>
                    <wp:anchor distT="0" distB="0" distL="114300" distR="114300" simplePos="0" relativeHeight="251784192" behindDoc="0" locked="0" layoutInCell="1" allowOverlap="1">
                      <wp:simplePos x="0" y="0"/>
                      <wp:positionH relativeFrom="column">
                        <wp:posOffset>1066800</wp:posOffset>
                      </wp:positionH>
                      <wp:positionV relativeFrom="paragraph">
                        <wp:posOffset>8890</wp:posOffset>
                      </wp:positionV>
                      <wp:extent cx="847090" cy="568960"/>
                      <wp:effectExtent l="0" t="0" r="29210" b="21590"/>
                      <wp:wrapNone/>
                      <wp:docPr id="57" name="自选图形 16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47090" cy="568960"/>
                              </a:xfrm>
                              <a:prstGeom prst="straightConnector1">
                                <a:avLst/>
                              </a:prstGeom>
                              <a:noFill/>
                              <a:ln w="9525">
                                <a:solidFill>
                                  <a:srgbClr val="000000"/>
                                </a:solidFill>
                                <a:round/>
                              </a:ln>
                              <a:effectLst/>
                            </wps:spPr>
                            <wps:bodyPr/>
                          </wps:wsp>
                        </a:graphicData>
                      </a:graphic>
                    </wp:anchor>
                  </w:drawing>
                </mc:Choice>
                <mc:Fallback>
                  <w:pict>
                    <v:shape id="自选图形 166" o:spid="_x0000_s1026" o:spt="32" type="#_x0000_t32" style="position:absolute;left:0pt;flip:x y;margin-left:84pt;margin-top:0.7pt;height:44.8pt;width:66.7pt;z-index:251784192;mso-width-relative:page;mso-height-relative:page;" filled="f" stroked="t" coordsize="21600,21600" o:gfxdata="UEsFBgAAAAAAAAAAAAAAAAAAAAAAAFBLAwQKAAAAAACHTuJAAAAAAAAAAAAAAAAABAAAAGRycy9Q&#10;SwMEFAAAAAgAh07iQPo7QdvXAAAACAEAAA8AAABkcnMvZG93bnJldi54bWxNj8FOwzAQRO9I/Qdr&#10;kbig1g5UoaRxeqhERcUB0VacnXibRMTrKHabwtezPcFtRrOafZOvLq4TZxxC60lDMlMgkCpvW6o1&#10;HPYv0wWIEA1Z03lCDd8YYFVMbnKTWT/SB553sRZcQiEzGpoY+0zKUDXoTJj5Homzox+ciWyHWtrB&#10;jFzuOvmgVCqdaYk/NKbHdYPV1+7kNMzTfbkZK9w+yfef0b69fm62907ru9tELUFEvMS/Y7jiMzoU&#10;zFT6E9kgOvbpgrdEFnMQnD+qqyg1PCcKZJHL/wOKX1BLAwQUAAAACACHTuJA+7XhLesBAACZAwAA&#10;DgAAAGRycy9lMm9Eb2MueG1srVPBbhMxEL0j8Q+W72Q3EUmTVTY9pCocCkRq6d3xenctvB5r7GST&#10;GzfEN3DjyD/A31SCv+jYSdMCN8QerB3PvDczb8bz811n2Fah12BLPhzknCkrodK2Kfn7m8sXU858&#10;ELYSBqwq+V55fr54/mzeu0KNoAVTKWREYn3Ru5K3Ibgiy7xsVSf8AJyy5KwBOxHIxCarUPTE3pls&#10;lOeTrAesHIJU3tPtxcHJF4m/rpUM7+raq8BMyam2kE5M5zqe2WIuigaFa7U8liH+oYpOaEtJT1QX&#10;Igi2Qf0XVaclgoc6DCR0GdS1lir1QN0M8z+6uW6FU6kXEse7k0z+/9HKt9sVMl2VfHzGmRUdzejn&#10;p2+/Pn6++/Lj7vtXNpxMoki98wXFLu0KY5tyZ6/dFcgPnllYtsI2KhV7s3dEEHCjIij7DRUN7yjb&#10;un8DFYWJTYAk2q7GjtVGu9dHbDJuj0bMR0KxXZra/jQ1tQtM0uX05Vk+o9lKco0n09kkTTUTRaSN&#10;YIc+vFLQsfhTch9Q6KYNS7CW9gNwmIoQ2ysfYtGPgAi2cKmNSWtiLOtLPhuPxgngwegqOmOYx2a9&#10;NMi2Ii5a+pIC5HkahrCx1SGJsRGn0o4eMz8odJB7DdV+hQ8y0vxTbcddjQv21E5iP76ox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6O0Hb1wAAAAgBAAAPAAAAAAAAAAEAIAAAADgAAABkcnMvZG93&#10;bnJldi54bWxQSwECFAAUAAAACACHTuJA+7XhLesBAACZAwAADgAAAAAAAAABACAAAAA8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5216" behindDoc="0" locked="0" layoutInCell="1" allowOverlap="1">
                      <wp:simplePos x="0" y="0"/>
                      <wp:positionH relativeFrom="column">
                        <wp:posOffset>9525</wp:posOffset>
                      </wp:positionH>
                      <wp:positionV relativeFrom="paragraph">
                        <wp:posOffset>48260</wp:posOffset>
                      </wp:positionV>
                      <wp:extent cx="1885950" cy="333375"/>
                      <wp:effectExtent l="0" t="0" r="19050" b="28575"/>
                      <wp:wrapNone/>
                      <wp:docPr id="56" name="自选图形 16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33375"/>
                              </a:xfrm>
                              <a:prstGeom prst="straightConnector1">
                                <a:avLst/>
                              </a:prstGeom>
                              <a:noFill/>
                              <a:ln w="9525">
                                <a:solidFill>
                                  <a:srgbClr val="000000"/>
                                </a:solidFill>
                                <a:round/>
                              </a:ln>
                              <a:effectLst/>
                            </wps:spPr>
                            <wps:bodyPr/>
                          </wps:wsp>
                        </a:graphicData>
                      </a:graphic>
                    </wp:anchor>
                  </w:drawing>
                </mc:Choice>
                <mc:Fallback>
                  <w:pict>
                    <v:shape id="自选图形 167" o:spid="_x0000_s1026" o:spt="32" type="#_x0000_t32" style="position:absolute;left:0pt;flip:x y;margin-left:0.75pt;margin-top:3.8pt;height:26.25pt;width:148.5pt;z-index:251785216;mso-width-relative:page;mso-height-relative:page;" filled="f" stroked="t" coordsize="21600,21600" o:gfxdata="UEsFBgAAAAAAAAAAAAAAAAAAAAAAAFBLAwQKAAAAAACHTuJAAAAAAAAAAAAAAAAABAAAAGRycy9Q&#10;SwMEFAAAAAgAh07iQJG0cPjWAAAABgEAAA8AAABkcnMvZG93bnJldi54bWxNjk1PwzAQRO+V+A/W&#10;InGpWjsVpCXE6QGJiooD6od6duIliYjXUew2hV/PcoLj04xmXr6+uk5ccAitJw3JXIFAqrxtqdZw&#10;PLzMViBCNGRN5wk1fGGAdXEzyU1m/Ug7vOxjLXiEQmY0NDH2mZShatCZMPc9EmcffnAmMg61tIMZ&#10;edx1cqFUKp1piR8a0+Nzg9Xn/uw03KeHcjNWuF3K9+/Rvr2eNtup0/ruNlFPICJe418ZfvVZHQp2&#10;Kv2ZbBAd8wMXNSxTEJwuHlfMpYZUJSCLXP7XL34AUEsDBBQAAAAIAIdO4kBF6vs36QEAAJoDAAAO&#10;AAAAZHJzL2Uyb0RvYy54bWytU8GO0zAQvSPxD5bvNG1Rut2o6R66WjgsUGkX7q7jJBaOxxq7TXvj&#10;hvgGbhz5B/ibleAvGLvZLgs3hA9WxjNv5s2byeJi3xm2U+g12JJPRmPOlJVQaduU/O3t1bM5Zz4I&#10;WwkDVpX8oDy/WD59suhdoabQgqkUMkpifdG7krchuCLLvGxVJ/wInLLkrAE7EcjEJqtQ9JS9M9l0&#10;PJ5lPWDlEKTynl4vj06+TPnrWsnwpq69CsyUnLiFdGO6N/HOlgtRNChcq+VAQ/wDi05oS0VPqS5F&#10;EGyL+q9UnZYIHuowktBlUNdaqtQDdTMZ/9HNTSucSr2QON6dZPL/L618vVsj01XJ8xlnVnQ0ox8f&#10;v/788Onu8/e7b1/YZHYWReqdLyh2ZdcY25R7e+OuQb73zMKqFbZRieztwVGCgFsVQdkjVDS8o2qb&#10;/hVUFCa2AZJo+xo7VhvtXg7YZLwbjFiPhGL7NLXDaWpqH5ikx8l8np/nNFxJvud0zvJUXBQxb0Q7&#10;9OGFgo7Fj5L7gEI3bViBtbQggJPEQuyufYisHwARbOFKG5P2xFjWl/w8n+YJ4MHoKjpjmMdmszLI&#10;diJuWjoDi0dhCFtbHYsYG3EqLelQ+V6io94bqA5rvNeRFiBxG5Y1btjvdlL74Zda/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tHD41gAAAAYBAAAPAAAAAAAAAAEAIAAAADgAAABkcnMvZG93bnJl&#10;di54bWxQSwECFAAUAAAACACHTuJARer7N+kBAACaAwAADgAAAAAAAAABACAAAAA7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0.0234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-0.0035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-0.0070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0.0018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0.0144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0.0072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-0.0101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9</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头道桥镇二级住宅用地影响因素指标说明表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88288" behindDoc="0" locked="0" layoutInCell="1" allowOverlap="1">
                      <wp:simplePos x="0" y="0"/>
                      <wp:positionH relativeFrom="column">
                        <wp:posOffset>9525</wp:posOffset>
                      </wp:positionH>
                      <wp:positionV relativeFrom="paragraph">
                        <wp:posOffset>161290</wp:posOffset>
                      </wp:positionV>
                      <wp:extent cx="1676400" cy="361950"/>
                      <wp:effectExtent l="0" t="0" r="19050" b="19050"/>
                      <wp:wrapNone/>
                      <wp:docPr id="54" name="自选图形 17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76400" cy="361950"/>
                              </a:xfrm>
                              <a:prstGeom prst="straightConnector1">
                                <a:avLst/>
                              </a:prstGeom>
                              <a:noFill/>
                              <a:ln w="9525">
                                <a:solidFill>
                                  <a:srgbClr val="000000"/>
                                </a:solidFill>
                                <a:round/>
                              </a:ln>
                              <a:effectLst/>
                            </wps:spPr>
                            <wps:bodyPr/>
                          </wps:wsp>
                        </a:graphicData>
                      </a:graphic>
                    </wp:anchor>
                  </w:drawing>
                </mc:Choice>
                <mc:Fallback>
                  <w:pict>
                    <v:shape id="自选图形 173" o:spid="_x0000_s1026" o:spt="32" type="#_x0000_t32" style="position:absolute;left:0pt;flip:x y;margin-left:0.75pt;margin-top:12.7pt;height:28.5pt;width:132pt;z-index:251788288;mso-width-relative:page;mso-height-relative:page;" filled="f" stroked="t" coordsize="21600,21600" o:gfxdata="UEsFBgAAAAAAAAAAAAAAAAAAAAAAAFBLAwQKAAAAAACHTuJAAAAAAAAAAAAAAAAABAAAAGRycy9Q&#10;SwMEFAAAAAgAh07iQM29f7rWAAAABwEAAA8AAABkcnMvZG93bnJldi54bWxNjs1OwkAUhfcmvsPk&#10;krgxMqVpK6mdsjCRQFgYwbiedq5tQ+dO0xko+PReVro8PznnK1YX24szjr5zpGAxj0Ag1c501Cj4&#10;PLw9LUH4oMno3hEquKKHVXl/V+jcuIk+8LwPjeAR8rlW0IYw5FL6ukWr/dwNSJx9u9HqwHJspBn1&#10;xOO2l3EUZdLqjvih1QO+tlgf9yerIMkO1Xqqcfss338ms9t8rbePVqmH2SJ6ARHwEv7KcMNndCiZ&#10;qXInMl70rFMuKojTBATHcZayUSlYxgnIspD/+ctfUEsDBBQAAAAIAIdO4kBCN4g27AEAAJoDAAAO&#10;AAAAZHJzL2Uyb0RvYy54bWytU8FuEzEQvSPxD5bvZLNpk9JVNj2kKhwKRGrh7ni9uxZejzV2ssmN&#10;G+IbuHHkH+BvKsFfMHa2aYEbYg/Wjmfem5k34/nFrjNsq9BrsCXPR2POlJVQaduU/O3t1bPnnPkg&#10;bCUMWFXyvfL8YvH0ybx3hZpAC6ZSyIjE+qJ3JW9DcEWWedmqTvgROGXJWQN2IpCJTVah6Im9M9lk&#10;PJ5lPWDlEKTynm4vD06+SPx1rWR4U9deBWZKTrWFdGI61/HMFnNRNChcq+VQhviHKjqhLSU9Ul2K&#10;INgG9V9UnZYIHuowktBlUNdaqtQDdZOP/+jmphVOpV5IHO+OMvn/Rytfb1fIdFXy6SlnVnQ0ox8f&#10;v/788Onu8/e7b19YfnYSReqdLyh2aVcY25Q7e+OuQb73zMKyFbZRqdjbvSOCgBsVQdlvqGh4R9nW&#10;/SuoKExsAiTRdjV2rDbavRywyXg3GDEfCcV2aWr749TULjBJl/nsbHY6puFK8p3M8vNpGmsmisgb&#10;0Q59eKGgY/Gn5D6g0E0blmAtLQhgnqoQ22sfYtUPgAi2cKWNSXtiLOtLfj6dTBPAg9FVdMYwj816&#10;aZBtRdy09CUJyPM4DGFjq0MSYyNOpSUdMt9LdNB7DdV+hfc60gKk2oZljRv22E5qPzyp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NvX+61gAAAAcBAAAPAAAAAAAAAAEAIAAAADgAAABkcnMvZG93&#10;bnJldi54bWxQSwECFAAUAAAACACHTuJAQjeINuwBAACaAwAADgAAAAAAAAABACAAAAA7AQAAZHJz&#10;L2Uyb0RvYy54bWxQSwUGAAAAAAYABgBZAQAAmQUAAAAA&#10;">
                      <v:fill on="f" focussize="0,0"/>
                      <v:stroke color="#000000" joinstyle="round"/>
                      <v:imagedata o:title=""/>
                      <o:lock v:ext="edit" aspectratio="f"/>
                    </v:shape>
                  </w:pict>
                </mc:Fallback>
              </mc:AlternateContent>
            </w:r>
            <w:r>
              <w:rPr>
                <w:rFonts w:ascii="仿宋" w:hAnsi="仿宋" w:eastAsia="仿宋"/>
                <w:color w:val="000000"/>
                <w:kern w:val="0"/>
                <w:sz w:val="21"/>
                <w:szCs w:val="21"/>
                <w:u w:color="000000"/>
              </w:rPr>
              <mc:AlternateContent>
                <mc:Choice Requires="wps">
                  <w:drawing>
                    <wp:anchor distT="0" distB="0" distL="114300" distR="114300" simplePos="0" relativeHeight="251787264" behindDoc="0" locked="0" layoutInCell="1" allowOverlap="1">
                      <wp:simplePos x="0" y="0"/>
                      <wp:positionH relativeFrom="column">
                        <wp:posOffset>1134110</wp:posOffset>
                      </wp:positionH>
                      <wp:positionV relativeFrom="paragraph">
                        <wp:posOffset>-1270</wp:posOffset>
                      </wp:positionV>
                      <wp:extent cx="609600" cy="504825"/>
                      <wp:effectExtent l="0" t="0" r="19050" b="28575"/>
                      <wp:wrapNone/>
                      <wp:docPr id="55" name="自选图形 17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09600" cy="504825"/>
                              </a:xfrm>
                              <a:prstGeom prst="straightConnector1">
                                <a:avLst/>
                              </a:prstGeom>
                              <a:noFill/>
                              <a:ln w="9525">
                                <a:solidFill>
                                  <a:srgbClr val="000000"/>
                                </a:solidFill>
                                <a:round/>
                              </a:ln>
                              <a:effectLst/>
                            </wps:spPr>
                            <wps:bodyPr/>
                          </wps:wsp>
                        </a:graphicData>
                      </a:graphic>
                    </wp:anchor>
                  </w:drawing>
                </mc:Choice>
                <mc:Fallback>
                  <w:pict>
                    <v:shape id="自选图形 172" o:spid="_x0000_s1026" o:spt="32" type="#_x0000_t32" style="position:absolute;left:0pt;flip:x y;margin-left:89.3pt;margin-top:-0.1pt;height:39.75pt;width:48pt;z-index:251787264;mso-width-relative:page;mso-height-relative:page;" filled="f" stroked="t" coordsize="21600,21600" o:gfxdata="UEsFBgAAAAAAAAAAAAAAAAAAAAAAAFBLAwQKAAAAAACHTuJAAAAAAAAAAAAAAAAABAAAAGRycy9Q&#10;SwMEFAAAAAgAh07iQJj6+dHYAAAACAEAAA8AAABkcnMvZG93bnJldi54bWxNj0FPwkAQhe8m/IfN&#10;kHgxsKWSFmq3HEgkEg9GMJy33bFt6M423YWiv97xpMcv7+XNN/nmZjtxxcG3jhQs5hEIpMqZlmoF&#10;H8fn2QqED5qM7hyhgi/0sCkmd7nOjBvpHa+HUAseIZ9pBU0IfSalrxq02s9dj8TZpxusDoxDLc2g&#10;Rx63nYyjKJFWt8QXGt3jtsHqfLhYBcvkWO7GCvepfPsezevLabd/sErdTxfRE4iAt/BXhl99VoeC&#10;nUp3IeNFx5yuEq4qmMUgOI/TJXOpIF0/gixy+f+B4gdQSwMEFAAAAAgAh07iQMusjo/oAQAAmQMA&#10;AA4AAABkcnMvZTJvRG9jLnhtbK1TsW7bMBDdC/QfCO61ZKN2E8FyBgdph7Q1kKQ7TVESUYpHHGnL&#10;3roV/YZuHfMP7d8EaP8iR1pxmnYrqoHQ6XjvvXt3mp/tOsO2Cr0GW/LxKOdMWQmVtk3Jb64vXpxw&#10;5oOwlTBgVcn3yvOzxfNn894VagItmEohIxDri96VvA3BFVnmZas64UfglKVkDdiJQCE2WYWiJ/TO&#10;ZJM8n2U9YOUQpPKevp4fknyR8OtayfC+rr0KzJSctIV0YjrX8cwWc1E0KFyr5SBD/IOKTmhLpEeo&#10;cxEE26D+C6rTEsFDHUYSugzqWkuVeqBuxvkf3Vy1wqnUC5nj3dEm//9g5bvtCpmuSj6dcmZFRzP6&#10;+fn216cvd19/3H3/xsavJtGk3vmC7i7tCmObcmev3CXIj55ZWLbCNiqJvd47Agi4UbEoe1IVA++I&#10;bd2/hYquiU2AZNquxo7VRrs3Q20KPgxB5COj2C5NbX+cmtoFJunjLD+d5TRbSalp/vJkMk3cooiw&#10;sdihD68VdCy+lNwHFLppwxKspf0AHCcRYnvpQxT9WBCLLVxoY9KaGMv6kp9OiSBmPBhdxWQKsFkv&#10;DbKtiIuWnkHFk2sIG1sdSIyNdSrt6MD84NDB7jVU+xU+2EjzT9qGXY0L9nuczH78oxb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Pr50dgAAAAIAQAADwAAAAAAAAABACAAAAA4AAAAZHJzL2Rvd25y&#10;ZXYueG1sUEsBAhQAFAAAAAgAh07iQMusjo/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1150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29920" behindDoc="0" locked="0" layoutInCell="1" allowOverlap="1">
                <wp:simplePos x="0" y="0"/>
                <wp:positionH relativeFrom="column">
                  <wp:posOffset>845820</wp:posOffset>
                </wp:positionH>
                <wp:positionV relativeFrom="paragraph">
                  <wp:posOffset>305435</wp:posOffset>
                </wp:positionV>
                <wp:extent cx="1009015" cy="702310"/>
                <wp:effectExtent l="12065" t="12700" r="7620" b="8890"/>
                <wp:wrapNone/>
                <wp:docPr id="96" name="自选图形 17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09015" cy="702310"/>
                        </a:xfrm>
                        <a:prstGeom prst="straightConnector1">
                          <a:avLst/>
                        </a:prstGeom>
                        <a:noFill/>
                        <a:ln w="9525">
                          <a:solidFill>
                            <a:srgbClr val="000000"/>
                          </a:solidFill>
                          <a:round/>
                        </a:ln>
                        <a:effectLst/>
                      </wps:spPr>
                      <wps:bodyPr/>
                    </wps:wsp>
                  </a:graphicData>
                </a:graphic>
              </wp:anchor>
            </w:drawing>
          </mc:Choice>
          <mc:Fallback>
            <w:pict>
              <v:shape id="自选图形 170" o:spid="_x0000_s1026" o:spt="32" type="#_x0000_t32" style="position:absolute;left:0pt;flip:x y;margin-left:66.6pt;margin-top:24.05pt;height:55.3pt;width:79.45pt;z-index:251729920;mso-width-relative:page;mso-height-relative:page;" filled="f" stroked="t" coordsize="21600,21600" o:gfxdata="UEsFBgAAAAAAAAAAAAAAAAAAAAAAAFBLAwQKAAAAAACHTuJAAAAAAAAAAAAAAAAABAAAAGRycy9Q&#10;SwMEFAAAAAgAh07iQML7YTzaAAAACgEAAA8AAABkcnMvZG93bnJldi54bWxNj0FPwkAQhe8m/IfN&#10;kHgxsG1RqLVbDiQSiQcjEM/b7tg2dGeb7kLRX+940tu8vC9v3svXV9uJCw6+daQgnkcgkCpnWqoV&#10;HA/PsxSED5qM7hyhgi/0sC4mN7nOjBvpHS/7UAsOIZ9pBU0IfSalrxq02s9dj8TepxusDiyHWppB&#10;jxxuO5lE0VJa3RJ/aHSPmwar0/5sFdwvD+V2rHC3km/fo3l9+dju7qxSt9M4egIR8Br+YPitz9Wh&#10;4E6lO5PxomO9WCSMclgag2AgeUz4KNl5SFcgi1z+n1D8AFBLAwQUAAAACACHTuJApmDUcusBAACa&#10;AwAADgAAAGRycy9lMm9Eb2MueG1srVPBbtQwEL0j8Q+W72ySRdvSaLM9bFU4FFipLXev4yQWjsca&#10;ezfZGzfEN3Dj2H+Av6kEf9Gxu90WuCFysDKZmTdvnl/mp2Nv2Fah12ArXkxyzpSVUGvbVvz66vzF&#10;K858ELYWBqyq+E55frp4/mw+uFJNoQNTK2QEYn05uIp3Ibgyy7zsVC/8BJyylGwAexEoxDarUQyE&#10;3ptsmudH2QBYOwSpvKevZ/dJvkj4TaNkeN80XgVmKk7cQjoxnet4Zou5KFsUrtNyT0P8A4teaEtD&#10;D1BnIgi2Qf0XVK8lgocmTCT0GTSNlirtQNsU+R/bXHbCqbQLiePdQSb//2Dlu+0Kma4rfnLEmRU9&#10;3dHPzze/Pn25/frj9vs3VhwnkQbnS6pd2hXGNeVoL90FyI+eWVh2wrYqkb3aOQIIuFFR2ey3rhh4&#10;R9PWw1uoqUxsAiTRxgZ71hjt3ux7U/BhH8R5JBQb063tDremxsAkfSzy/CQvZpxJyh3n05dFYpyJ&#10;MuLGboc+vFbQs/hScR9Q6LYLS7CWDAJYJBZie+FDZP3YEJstnGtjkk+MZQMJNZvOUoMHo+uYjGUe&#10;2/XSINuK6LT0JAko87QMYWPr+yHGxj6VTLqf/CBRtK8v11DvVvigIxkgcdubNTrsaZzUfvylF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C+2E82gAAAAoBAAAPAAAAAAAAAAEAIAAAADgAAABkcnMv&#10;ZG93bnJldi54bWxQSwECFAAUAAAACACHTuJApmDUcus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10</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头道桥镇二级住宅用地基准地价修正系数表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3"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0336" behindDoc="0" locked="0" layoutInCell="1" allowOverlap="1">
                      <wp:simplePos x="0" y="0"/>
                      <wp:positionH relativeFrom="column">
                        <wp:posOffset>57150</wp:posOffset>
                      </wp:positionH>
                      <wp:positionV relativeFrom="paragraph">
                        <wp:posOffset>87630</wp:posOffset>
                      </wp:positionV>
                      <wp:extent cx="1838325" cy="323850"/>
                      <wp:effectExtent l="0" t="0" r="28575" b="19050"/>
                      <wp:wrapNone/>
                      <wp:docPr id="50" name="自选图形 16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38325" cy="323850"/>
                              </a:xfrm>
                              <a:prstGeom prst="straightConnector1">
                                <a:avLst/>
                              </a:prstGeom>
                              <a:noFill/>
                              <a:ln w="9525">
                                <a:solidFill>
                                  <a:srgbClr val="000000"/>
                                </a:solidFill>
                                <a:round/>
                              </a:ln>
                              <a:effectLst/>
                            </wps:spPr>
                            <wps:bodyPr/>
                          </wps:wsp>
                        </a:graphicData>
                      </a:graphic>
                    </wp:anchor>
                  </w:drawing>
                </mc:Choice>
                <mc:Fallback>
                  <w:pict>
                    <v:shape id="自选图形 168" o:spid="_x0000_s1026" o:spt="32" type="#_x0000_t32" style="position:absolute;left:0pt;flip:x y;margin-left:4.5pt;margin-top:6.9pt;height:25.5pt;width:144.75pt;z-index:251790336;mso-width-relative:page;mso-height-relative:page;" filled="f" stroked="t" coordsize="21600,21600" o:gfxdata="UEsFBgAAAAAAAAAAAAAAAAAAAAAAAFBLAwQKAAAAAACHTuJAAAAAAAAAAAAAAAAABAAAAGRycy9Q&#10;SwMEFAAAAAgAh07iQAIOmXTYAAAABwEAAA8AAABkcnMvZG93bnJldi54bWxNj8FOwzAQRO9I/IO1&#10;SFwQdVpKSEOcHpCoqDggWsR5Ey9JRLyOYrcpfD3LCY6zs5p5U6xPrldHGkPn2cB8loAirr3tuDHw&#10;tn+8zkCFiGyx90wGvijAujw/KzC3fuJXOu5ioySEQ44G2hiHXOtQt+QwzPxALN6HHx1GkWOj7YiT&#10;hLteL5Ik1Q47loYWB3poqf7cHZyBZbqvNlNN2zv98j3Z56f3zfbKGXN5MU/uQUU6xb9n+MUXdCiF&#10;qfIHtkH1BlayJMr5RgaIvVhlt6AqA+kyA10W+j9/+QNQSwMEFAAAAAgAh07iQMQnQlHqAQAAmgMA&#10;AA4AAABkcnMvZTJvRG9jLnhtbK1TzY7TMBC+I/EOlu80/VFXIWq6h64WDgtU2l3uruMkFo7HGrtN&#10;e+OGeAZuHHmH5W1WYt+CsZstLNwQOViZn++bmc/jxfm+M2yn0GuwJZ+MxpwpK6HStin57c3li5wz&#10;H4SthAGrSn5Qnp8vnz9b9K5QU2jBVAoZkVhf9K7kbQiuyDIvW9UJPwKnLAVrwE4EMrHJKhQ9sXcm&#10;m47HZ1kPWDkEqbwn78UxyJeJv66VDO/q2qvATMmpt5BOTOcmntlyIYoGhWu1HNoQ/9BFJ7Sloieq&#10;CxEE26L+i6rTEsFDHUYSugzqWkuVZqBpJuM/prluhVNpFhLHu5NM/v/Ryre7NTJdlXxO8ljR0R39&#10;+PTt4ePn+y/f7+++sslZHkXqnS8od2XXGMeUe3vtrkB+8MzCqhW2UanZm4MjgoBbFUHZE1Q0vKNq&#10;m/4NVJQmtgGSaPsaO1Yb7V4P2GS8H4xYj4Ri+3Rrh9OtqX1gkpyTfJbPpnPOJMVm01lOk8Tiooi8&#10;Ee3Qh1cKOhZ/Su4DCt20YQXW0oIATlIXYnflwxH4CIhgC5faGPKLwljWl/zlnIpF04PRVQwmA5vN&#10;yiDbibhp6Ru6eJKGsLXVsYixEafSkg6VHyU66r2B6rDGmBz9tABpqGFZ44b9bqesX09q+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CDpl02AAAAAcBAAAPAAAAAAAAAAEAIAAAADgAAABkcnMvZG93&#10;bnJldi54bWxQSwECFAAUAAAACACHTuJAxCdCUeoBAACa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0.0250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-0.0115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-0.0080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0.0106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0.0053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-0.0049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0.0019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噪声染</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34016" behindDoc="0" locked="0" layoutInCell="1" allowOverlap="1">
                <wp:simplePos x="0" y="0"/>
                <wp:positionH relativeFrom="column">
                  <wp:posOffset>1127125</wp:posOffset>
                </wp:positionH>
                <wp:positionV relativeFrom="paragraph">
                  <wp:posOffset>296545</wp:posOffset>
                </wp:positionV>
                <wp:extent cx="563880" cy="450215"/>
                <wp:effectExtent l="7620" t="5080" r="9525" b="11430"/>
                <wp:wrapNone/>
                <wp:docPr id="49" name="自选图形 17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563880" cy="450215"/>
                        </a:xfrm>
                        <a:prstGeom prst="straightConnector1">
                          <a:avLst/>
                        </a:prstGeom>
                        <a:noFill/>
                        <a:ln w="9525">
                          <a:solidFill>
                            <a:srgbClr val="000000"/>
                          </a:solidFill>
                          <a:round/>
                        </a:ln>
                        <a:effectLst/>
                      </wps:spPr>
                      <wps:bodyPr/>
                    </wps:wsp>
                  </a:graphicData>
                </a:graphic>
              </wp:anchor>
            </w:drawing>
          </mc:Choice>
          <mc:Fallback>
            <w:pict>
              <v:shape id="自选图形 174" o:spid="_x0000_s1026" o:spt="32" type="#_x0000_t32" style="position:absolute;left:0pt;flip:x y;margin-left:88.75pt;margin-top:23.35pt;height:35.45pt;width:44.4pt;z-index:251734016;mso-width-relative:page;mso-height-relative:page;" filled="f" stroked="t" coordsize="21600,21600" o:gfxdata="UEsFBgAAAAAAAAAAAAAAAAAAAAAAAFBLAwQKAAAAAACHTuJAAAAAAAAAAAAAAAAABAAAAGRycy9Q&#10;SwMEFAAAAAgAh07iQPQyBULYAAAACgEAAA8AAABkcnMvZG93bnJldi54bWxNj8FOwzAQRO9I/IO1&#10;SFwQdVLARiFOD0hUVBwQLeLsxEsSEa+j2G0KX8/2BMfRjN6+LVdHP4gDTrEPZCBfZCCQmuB6ag28&#10;756u70HEZMnZIRAa+MYIq+r8rLSFCzO94WGbWsEQioU10KU0FlLGpkNv4yKMSNx9hsnbxHFqpZvs&#10;zHA/yGWWKeltT3yhsyM+dth8bffewK3a1eu5wY2Wrz+ze3n+WG+uvDGXF3n2ACLhMf2N4aTP6lCx&#10;Ux325KIYOGt9x9MTTIPgwVKpGxA1N7lWIKtS/n+h+gVQSwMEFAAAAAgAh07iQKGHkTjqAQAAmQMA&#10;AA4AAABkcnMvZTJvRG9jLnhtbK1TwW7UMBC9I/EPlu9skmVTttFme9iqcCiwUgt3r+MkFo7HGns3&#10;2Rs3xDdw65F/gL+pRP+itjfdUrghcrAyGb83b95MFmdDp8hOoJWgS5pNUkqE5lBJ3ZT0w/XFizkl&#10;1jFdMQValHQvLD1bPn+26E0hptCCqgQST6Jt0ZuSts6ZIkksb0XH7ASM0D5ZA3bM+RCbpELWe/ZO&#10;JdM0PUl6wMogcGGt/3p+SNJl5K9rwd37urbCEVVSr83FE+O5CWeyXLCiQWZayUcZ7B9UdExqX/RI&#10;dc4cI1uUf1F1kiNYqN2EQ5dAXUsuYg++myz9o5urlhkRe/HmWHO0yf4/Wv5ut0Yiq5LOTinRrPMz&#10;+vXl+93nr7ffft7+uCHZq1kwqTe28HdXeo2hTT7oK3MJ/JMlGlYt042IYq/3xhM43IoASp6gQmCN&#10;r7bp30Llr7Gtg2jaUGNHaiXNmxEbg49jEOp5o8gQp7Y/Tk0MjnD/MT95OZ/72XKfmuXpNMtjbVYE&#10;2gA2aN1rAR0JLyW1DplsWrcCrf1+AGZRBNtdWhdEPwICWMOFVCquidKkL+lpPs0jwIKSVUiGaxab&#10;zUoh2bGwaPEZVTy5hrDV1aGI0gEn4o6OlR8cOti9gWq/xgcb/fyjtnFXw4L9HkezH/+o5T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0MgVC2AAAAAoBAAAPAAAAAAAAAAEAIAAAADgAAABkcnMvZG93&#10;bnJldi54bWxQSwECFAAUAAAACACHTuJAoYeROOoBAACZ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 xml:space="preserve">11  </w:t>
      </w:r>
      <w:r>
        <w:rPr>
          <w:rFonts w:hint="eastAsia" w:ascii="仿宋" w:hAnsi="仿宋" w:eastAsia="仿宋" w:cs="仿宋"/>
          <w:b/>
          <w:bCs/>
          <w:sz w:val="24"/>
          <w:szCs w:val="24"/>
          <w:u w:color="000000"/>
        </w:rPr>
        <w:t xml:space="preserve">  头道桥镇三级住宅用地影响因素指标说明表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2384" behindDoc="0" locked="0" layoutInCell="1" allowOverlap="1">
                      <wp:simplePos x="0" y="0"/>
                      <wp:positionH relativeFrom="column">
                        <wp:posOffset>635</wp:posOffset>
                      </wp:positionH>
                      <wp:positionV relativeFrom="paragraph">
                        <wp:posOffset>170180</wp:posOffset>
                      </wp:positionV>
                      <wp:extent cx="1752600" cy="368935"/>
                      <wp:effectExtent l="0" t="0" r="19050" b="31115"/>
                      <wp:wrapNone/>
                      <wp:docPr id="48" name="自选图形 17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52600" cy="368935"/>
                              </a:xfrm>
                              <a:prstGeom prst="straightConnector1">
                                <a:avLst/>
                              </a:prstGeom>
                              <a:noFill/>
                              <a:ln w="9525">
                                <a:solidFill>
                                  <a:srgbClr val="000000"/>
                                </a:solidFill>
                                <a:round/>
                              </a:ln>
                              <a:effectLst/>
                            </wps:spPr>
                            <wps:bodyPr/>
                          </wps:wsp>
                        </a:graphicData>
                      </a:graphic>
                    </wp:anchor>
                  </w:drawing>
                </mc:Choice>
                <mc:Fallback>
                  <w:pict>
                    <v:shape id="自选图形 175" o:spid="_x0000_s1026" o:spt="32" type="#_x0000_t32" style="position:absolute;left:0pt;flip:x y;margin-left:0.05pt;margin-top:13.4pt;height:29.05pt;width:138pt;z-index:251792384;mso-width-relative:page;mso-height-relative:page;" filled="f" stroked="t" coordsize="21600,21600" o:gfxdata="UEsFBgAAAAAAAAAAAAAAAAAAAAAAAFBLAwQKAAAAAACHTuJAAAAAAAAAAAAAAAAABAAAAGRycy9Q&#10;SwMEFAAAAAgAh07iQPCLPd/VAAAABgEAAA8AAABkcnMvZG93bnJldi54bWxNjk9Lw0AQxe+C32EZ&#10;wYvYTUNJa8ymB8Fi8SC24nmSHZNgdjZkt0310zs92eP7w3u/Yn1yvTrSGDrPBuazBBRx7W3HjYGP&#10;/fP9ClSIyBZ7z2TghwKsy+urAnPrJ36n4y42SkY45GigjXHItQ51Sw7DzA/Ekn350WEUOTbajjjJ&#10;uOt1miSZdtixPLQ40FNL9ffu4Awssn21mWraLvXb72RfXz432ztnzO3NPHkEFekU/8twxhd0KIWp&#10;8ge2QfVnraKBNBN+SdNlJkZlYLV4AF0W+hK//ANQSwMEFAAAAAgAh07iQEb+YJTrAQAAmgMAAA4A&#10;AABkcnMvZTJvRG9jLnhtbK1TwY7TMBC9I/EPlu80bZeW3ajpHrpaOCxQaRfuruMkFo7HGrtNeuOG&#10;+AZue+Qf4G9Wgr9g7Ga7C9wQOViZjN+bN28mi/O+NWyn0GuwBZ+MxpwpK6HUti74u5vLZ6ec+SBs&#10;KQxYVfC98vx8+fTJonO5mkIDplTIiMT6vHMFb0JweZZ52ahW+BE4ZSlZAbYiUIh1VqLoiL012XQ8&#10;nmcdYOkQpPKevl4cknyZ+KtKyfC2qrwKzBSctIV0Yjo38cyWC5HXKFyj5SBD/IOKVmhLRY9UFyII&#10;tkX9F1WrJYKHKowktBlUlZYq9UDdTMZ/dHPdCKdSL2SOd0eb/P+jlW92a2S6LPhzmpQVLc3ox6ev&#10;Pz9+vvvy/e7bLZu8mEWTOudzuruya4xtyt5euyuQHzyzsGqErVUSe7N3RBBwqyIo+w0VA++o2qZ7&#10;DSVdE9sAybS+wpZVRrtXAzYF74cg1iOjWJ+mtj9OTfWBSfpICqfzMQ1XUu5kfnp2khRnIo+8Ee3Q&#10;h5cKWhZfCu4DCl03YQXW0oIATpIKsbvyIap+AESwhUttTNoTY1lX8LPZdJYAHowuYzJe81hvVgbZ&#10;TsRNS0+ygDKPryFsbXkoYmzEqbSkQ+V7iw5+b6Dcr/HeR1qApG1Y1rhhj+Pk9sMvt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Is939UAAAAGAQAADwAAAAAAAAABACAAAAA4AAAAZHJzL2Rvd25y&#10;ZXYueG1sUEsBAhQAFAAAAAgAh07iQEb+YJTrAQAAmgMAAA4AAAAAAAAAAQAgAAAAOg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180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1800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730944" behindDoc="0" locked="0" layoutInCell="1" allowOverlap="1">
                <wp:simplePos x="0" y="0"/>
                <wp:positionH relativeFrom="column">
                  <wp:posOffset>845820</wp:posOffset>
                </wp:positionH>
                <wp:positionV relativeFrom="paragraph">
                  <wp:posOffset>305435</wp:posOffset>
                </wp:positionV>
                <wp:extent cx="1009015" cy="702310"/>
                <wp:effectExtent l="12065" t="12700" r="7620" b="8890"/>
                <wp:wrapNone/>
                <wp:docPr id="47" name="自选图形 17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09015" cy="702310"/>
                        </a:xfrm>
                        <a:prstGeom prst="straightConnector1">
                          <a:avLst/>
                        </a:prstGeom>
                        <a:noFill/>
                        <a:ln w="9525">
                          <a:solidFill>
                            <a:srgbClr val="000000"/>
                          </a:solidFill>
                          <a:round/>
                        </a:ln>
                        <a:effectLst/>
                      </wps:spPr>
                      <wps:bodyPr/>
                    </wps:wsp>
                  </a:graphicData>
                </a:graphic>
              </wp:anchor>
            </w:drawing>
          </mc:Choice>
          <mc:Fallback>
            <w:pict>
              <v:shape id="自选图形 171" o:spid="_x0000_s1026" o:spt="32" type="#_x0000_t32" style="position:absolute;left:0pt;flip:x y;margin-left:66.6pt;margin-top:24.05pt;height:55.3pt;width:79.45pt;z-index:251730944;mso-width-relative:page;mso-height-relative:page;" filled="f" stroked="t" coordsize="21600,21600" o:gfxdata="UEsFBgAAAAAAAAAAAAAAAAAAAAAAAFBLAwQKAAAAAACHTuJAAAAAAAAAAAAAAAAABAAAAGRycy9Q&#10;SwMEFAAAAAgAh07iQML7YTzaAAAACgEAAA8AAABkcnMvZG93bnJldi54bWxNj0FPwkAQhe8m/IfN&#10;kHgxsG1RqLVbDiQSiQcjEM/b7tg2dGeb7kLRX+940tu8vC9v3svXV9uJCw6+daQgnkcgkCpnWqoV&#10;HA/PsxSED5qM7hyhgi/0sC4mN7nOjBvpHS/7UAsOIZ9pBU0IfSalrxq02s9dj8TepxusDiyHWppB&#10;jxxuO5lE0VJa3RJ/aHSPmwar0/5sFdwvD+V2rHC3km/fo3l9+dju7qxSt9M4egIR8Br+YPitz9Wh&#10;4E6lO5PxomO9WCSMclgag2AgeUz4KNl5SFcgi1z+n1D8AFBLAwQUAAAACACHTuJA/8Edv+wBAACa&#10;AwAADgAAAGRycy9lMm9Eb2MueG1srVPBjtMwEL0j8Q+W7zRJoZSNmu6hq4XDApV24e46dmLheKyx&#10;26Q3bohv4LZH/gH+ZqXdv8B2s90FbogcrIxn3puZN+PF6dBpshPoFJiKFpOcEmE41Mo0Ff1wdf7s&#10;FSXOM1MzDUZUdC8cPV0+fbLobSmm0IKuBZJAYlzZ24q23tsyyxxvRcfcBKwwwSkBO+aDiU1WI+sD&#10;e6ezaZ6/zHrA2iJw4Vy4PTs46TLxSym4fy+lE57oiobafDoxnZt4ZssFKxtktlV8LIP9QxUdUyYk&#10;PVKdMc/IFtVfVJ3iCA6kn3DoMpBScZF6CN0U+R/dXLbMitRLEMfZo0zu/9Hyd7s1ElVX9MWcEsO6&#10;MKPbL9/vPn+9+fbz5sc1KeZFFKm3rgyxK7PG2CYfzKW9AP7JEQOrlplGpGKv9jYQeNyKCMp+Q0XD&#10;2ZBt07+FOoSxrYck2iCxI1Ir+2bEJuPjaMR8QSgypKntj1MTgyc8XBZ5fpIXM0p48M3z6fMijTVj&#10;ZeSNaIvOvxbQkfhTUeeRqab1KzAmLAhgkapguwvnY9UPgAg2cK60TnuiDekrejKbzhLAgVZ1dMYw&#10;h81mpZHsWNy09CUJgudxGMLW1Ick2kScSEs6Zr6X6KD3Bur9Gu91DAuQahuXNW7YYzup/fCk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wvthPNoAAAAKAQAADwAAAAAAAAABACAAAAA4AAAAZHJz&#10;L2Rvd25yZXYueG1sUEsBAhQAFAAAAAgAh07iQP/BHb/sAQAAmgMAAA4AAAAAAAAAAQAgAAAAPwEA&#10;AGRycy9lMm9Eb2MueG1sUEsFBgAAAAAGAAYAWQEAAJ0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2</w:t>
      </w:r>
      <w:r>
        <w:rPr>
          <w:rFonts w:hint="eastAsia" w:ascii="仿宋" w:hAnsi="仿宋" w:eastAsia="仿宋" w:cs="仿宋"/>
          <w:b/>
          <w:bCs/>
          <w:sz w:val="24"/>
          <w:szCs w:val="24"/>
          <w:u w:color="000000"/>
        </w:rPr>
        <w:t>-</w:t>
      </w:r>
      <w:r>
        <w:rPr>
          <w:rFonts w:ascii="仿宋" w:hAnsi="仿宋" w:eastAsia="仿宋" w:cs="仿宋"/>
          <w:b/>
          <w:bCs/>
          <w:sz w:val="24"/>
          <w:szCs w:val="24"/>
          <w:u w:color="000000"/>
        </w:rPr>
        <w:t>12</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头道桥镇三级住宅用地基准地价修正系数表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4432" behindDoc="0" locked="0" layoutInCell="1" allowOverlap="1">
                      <wp:simplePos x="0" y="0"/>
                      <wp:positionH relativeFrom="column">
                        <wp:posOffset>19685</wp:posOffset>
                      </wp:positionH>
                      <wp:positionV relativeFrom="paragraph">
                        <wp:posOffset>68580</wp:posOffset>
                      </wp:positionV>
                      <wp:extent cx="1885950" cy="352425"/>
                      <wp:effectExtent l="0" t="0" r="19050" b="28575"/>
                      <wp:wrapNone/>
                      <wp:docPr id="46" name="自选图形 16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52425"/>
                              </a:xfrm>
                              <a:prstGeom prst="straightConnector1">
                                <a:avLst/>
                              </a:prstGeom>
                              <a:noFill/>
                              <a:ln w="9525">
                                <a:solidFill>
                                  <a:srgbClr val="000000"/>
                                </a:solidFill>
                                <a:round/>
                              </a:ln>
                              <a:effectLst/>
                            </wps:spPr>
                            <wps:bodyPr/>
                          </wps:wsp>
                        </a:graphicData>
                      </a:graphic>
                    </wp:anchor>
                  </w:drawing>
                </mc:Choice>
                <mc:Fallback>
                  <w:pict>
                    <v:shape id="自选图形 169" o:spid="_x0000_s1026" o:spt="32" type="#_x0000_t32" style="position:absolute;left:0pt;flip:x y;margin-left:1.55pt;margin-top:5.4pt;height:27.75pt;width:148.5pt;z-index:251794432;mso-width-relative:page;mso-height-relative:page;" filled="f" stroked="t" coordsize="21600,21600" o:gfxdata="UEsFBgAAAAAAAAAAAAAAAAAAAAAAAFBLAwQKAAAAAACHTuJAAAAAAAAAAAAAAAAABAAAAGRycy9Q&#10;SwMEFAAAAAgAh07iQP2fB3nWAAAABwEAAA8AAABkcnMvZG93bnJldi54bWxNj8FOwzAQRO9I/IO1&#10;lXpB1A5BoQpxekCiasUB0aKenXhJosbrKHabwteznOhxZ0azb4rVxfXijGPoPGlIFgoEUu1tR42G&#10;z/3r/RJEiIas6T2hhm8MsCpvbwqTWz/RB553sRFcQiE3GtoYh1zKULfoTFj4AYm9Lz86E/kcG2lH&#10;M3G56+WDUpl0piP+0JoBX1qsj7uT0/CY7av1VOP2Sb7/TPZtc1hv75zW81minkFEvMT/MPzhMzqU&#10;zFT5E9kgeg1pwkGWFQ9gO1WKhUpDlqUgy0Je85e/UEsDBBQAAAAIAIdO4kARW2k/6gEAAJoDAAAO&#10;AAAAZHJzL2Uyb0RvYy54bWytU8GO0zAQvSPxD5bvNG3ZVm3UdA9dLRwWqLTL3l3HSSwcjzV2m/bG&#10;DfEN3DjyD/A3K8Ff7NjNdlm4IXKwMhnPe2/eTBbn+9awnUKvwRZ8NBhypqyEUtu64O9vLl/MOPNB&#10;2FIYsKrgB+X5+fL5s0XncjWGBkypkBGI9XnnCt6E4PIs87JRrfADcMpSsgJsRaAQ66xE0RF6a7Lx&#10;cDjNOsDSIUjlPX29OCb5MuFXlZLhXVV5FZgpOGkL6cR0buKZLRcir1G4RstehvgHFa3QlkhPUBci&#10;CLZF/RdUqyWChyoMJLQZVJWWKvVA3YyGf3Rz3QinUi9kjncnm/z/g5Vvd2tkuiz42ZQzK1qa0c9P&#10;3359/Hz35cfd969sNJ1Hkzrnc7q7smuMbcq9vXZXID94ZmHVCFurJPbm4Agg4FbFouxJVQy8I7ZN&#10;9wZKuia2AZJp+wpbVhntXve1Kbjtg8hHRrF9mtrhNDW1D0zSx9FsNplPaLiSci8n47PxJJGLPOLG&#10;aoc+vFLQsvhScB9Q6LoJK7CWFgRwlFSI3ZUPUfVjQSy2cKmNSXtiLOsKPp8QQcx4MLqMyRRgvVkZ&#10;ZDsRNy09vYon1xC2tjySGBvrVFrSnvnBoqPfGygPa3zwkRYgaeuXNW7Y73Fy+/GXWt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Z8HedYAAAAHAQAADwAAAAAAAAABACAAAAA4AAAAZHJzL2Rvd25y&#10;ZXYueG1sUEsBAhQAFAAAAAgAh07iQBFbaT/qAQAAmg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0.0213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0.0065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-0.0100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2-13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头道桥镇一级工业用地影响因素指标说明表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404"/>
        <w:gridCol w:w="1400"/>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689"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6480" behindDoc="0" locked="0" layoutInCell="1" allowOverlap="1">
                      <wp:simplePos x="0" y="0"/>
                      <wp:positionH relativeFrom="column">
                        <wp:posOffset>681355</wp:posOffset>
                      </wp:positionH>
                      <wp:positionV relativeFrom="paragraph">
                        <wp:posOffset>-10160</wp:posOffset>
                      </wp:positionV>
                      <wp:extent cx="990600" cy="590550"/>
                      <wp:effectExtent l="0" t="0" r="19050" b="19050"/>
                      <wp:wrapNone/>
                      <wp:docPr id="43" name="自选图形 14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90600" cy="590550"/>
                              </a:xfrm>
                              <a:prstGeom prst="straightConnector1">
                                <a:avLst/>
                              </a:prstGeom>
                              <a:noFill/>
                              <a:ln w="9525">
                                <a:solidFill>
                                  <a:srgbClr val="000000"/>
                                </a:solidFill>
                                <a:round/>
                              </a:ln>
                              <a:effectLst/>
                            </wps:spPr>
                            <wps:bodyPr/>
                          </wps:wsp>
                        </a:graphicData>
                      </a:graphic>
                    </wp:anchor>
                  </w:drawing>
                </mc:Choice>
                <mc:Fallback>
                  <w:pict>
                    <v:shape id="自选图形 141" o:spid="_x0000_s1026" o:spt="32" type="#_x0000_t32" style="position:absolute;left:0pt;flip:x y;margin-left:53.65pt;margin-top:-0.8pt;height:46.5pt;width:78pt;z-index:251796480;mso-width-relative:page;mso-height-relative:page;" filled="f" stroked="t" coordsize="21600,21600" o:gfxdata="UEsFBgAAAAAAAAAAAAAAAAAAAAAAAFBLAwQKAAAAAACHTuJAAAAAAAAAAAAAAAAABAAAAGRycy9Q&#10;SwMEFAAAAAgAh07iQGpLQabZAAAACQEAAA8AAABkcnMvZG93bnJldi54bWxNj01PwzAMhu9I/IfI&#10;SFzQlnSbOlaa7oDExMQB7UOc08ZrKxqnarJ18OsxJzi+9qPXj/P11XXigkNoPWlIpgoEUuVtS7WG&#10;4+Fl8ggiREPWdJ5QwxcGWBe3N7nJrB9ph5d9rAWXUMiMhibGPpMyVA06E6a+R+LdyQ/ORI5DLe1g&#10;Ri53nZwplUpnWuILjenxucHqc392GhbpodyMFW6X8v17tG+vH5vtg9P6/i5RTyAiXuMfDL/6rA4F&#10;O5X+TDaIjrNazhnVMElSEAzM0jkPSg2rZAGyyOX/D4ofUEsDBBQAAAAIAIdO4kA4ydbs6gEAAJkD&#10;AAAOAAAAZHJzL2Uyb0RvYy54bWytU8FuEzEQvSPxD5bvZHdDU5FVNj2kKhwKRGrL3fF6dy28Hmvs&#10;ZJMbN8Q3cOPYf4C/qQR/0bGTpgVuiD1YO555b2bejGdn296wjUKvwVa8GOWcKSuh1rat+M31xYtX&#10;nPkgbC0MWFXxnfL8bP782WxwpRpDB6ZWyIjE+nJwFe9CcGWWedmpXvgROGXJ2QD2IpCJbVajGIi9&#10;N9k4z0+zAbB2CFJ5T7fneyefJ/6mUTK8bxqvAjMVp9pCOjGdq3hm85koWxSu0/JQhviHKnqhLSU9&#10;Up2LINga9V9UvZYIHpowktBn0DRaqtQDdVPkf3Rz1QmnUi8kjndHmfz/o5XvNktkuq74yUvOrOhp&#10;Rj8/3/769OXu64+7799YcVJEkQbnS4pd2CXGNuXWXrlLkB89s7DohG1VKvZ654gg4FpFUPYbKhre&#10;UbbV8BZqChPrAEm0bYM9a4x2bw7YZHw4GDEfCcW2aWq749TUNjBJl9NpfprTbCW5JtN8MklTzUQZ&#10;aSPYoQ+vFfQs/lTcBxS67cICrKX9ACxSEWJz6UMs+hEQwRYutDFpTYxlA6WbjCcJ4MHoOjpjmMd2&#10;tTDINiIuWvqSAuR5GoawtvU+ibERp9KOHjI/KLSXewX1bokPMtL8U22HXY0L9tROYj++qPk9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ktBptkAAAAJAQAADwAAAAAAAAABACAAAAA4AAAAZHJzL2Rv&#10;d25yZXYueG1sUEsBAhQAFAAAAAgAh07iQDjJ1uzqAQAAmQ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630" w:firstLineChars="3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7504" behindDoc="0" locked="0" layoutInCell="1" allowOverlap="1">
                      <wp:simplePos x="0" y="0"/>
                      <wp:positionH relativeFrom="column">
                        <wp:posOffset>-61595</wp:posOffset>
                      </wp:positionH>
                      <wp:positionV relativeFrom="paragraph">
                        <wp:posOffset>78740</wp:posOffset>
                      </wp:positionV>
                      <wp:extent cx="1666875" cy="323850"/>
                      <wp:effectExtent l="0" t="0" r="28575" b="19050"/>
                      <wp:wrapNone/>
                      <wp:docPr id="42" name="自选图形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66875" cy="323850"/>
                              </a:xfrm>
                              <a:prstGeom prst="straightConnector1">
                                <a:avLst/>
                              </a:prstGeom>
                              <a:noFill/>
                              <a:ln w="9525">
                                <a:solidFill>
                                  <a:srgbClr val="000000"/>
                                </a:solidFill>
                                <a:round/>
                              </a:ln>
                              <a:effectLst/>
                            </wps:spPr>
                            <wps:bodyPr/>
                          </wps:wsp>
                        </a:graphicData>
                      </a:graphic>
                    </wp:anchor>
                  </w:drawing>
                </mc:Choice>
                <mc:Fallback>
                  <w:pict>
                    <v:shape id="自选图形 142" o:spid="_x0000_s1026" o:spt="32" type="#_x0000_t32" style="position:absolute;left:0pt;flip:x y;margin-left:-4.85pt;margin-top:6.2pt;height:25.5pt;width:131.25pt;z-index:251797504;mso-width-relative:page;mso-height-relative:page;" filled="f" stroked="t" coordsize="21600,21600" o:gfxdata="UEsFBgAAAAAAAAAAAAAAAAAAAAAAAFBLAwQKAAAAAACHTuJAAAAAAAAAAAAAAAAABAAAAGRycy9Q&#10;SwMEFAAAAAgAh07iQHvFWTfZAAAACAEAAA8AAABkcnMvZG93bnJldi54bWxNj0FPwkAQhe8m/ofN&#10;mHgxsKXWAqVbDiYSiAcjGM/b7tA2dmeb7kKRX+940uO89/Lme/n6YjtxxsG3jhTMphEIpMqZlmoF&#10;H4eXyQKED5qM7hyhgm/0sC5ub3KdGTfSO573oRZcQj7TCpoQ+kxKXzVotZ+6Hom9oxusDnwOtTSD&#10;HrncdjKOolRa3RJ/aHSPzw1WX/uTVZCkh3IzVriby7fraF63n5vdg1Xq/m4WrUAEvIS/MPziMzoU&#10;zFS6ExkvOgWT5ZyTrMcJCPbjp5inlArSxwRkkcv/A4ofUEsDBBQAAAAIAIdO4kDMe2TY7AEAAJoD&#10;AAAOAAAAZHJzL2Uyb0RvYy54bWytU8GO0zAQvSPxD5bvNE2XlhI13UNXC4cFKu3C3XWcxMLxWGO3&#10;SW/cEN/AjSP/AH+zEvwFY7fbXeCGyMHKeOa9mXkzXpwPnWE7hV6DLXk+GnOmrIRK26bkb28un8w5&#10;80HYShiwquR75fn58vGjRe8KNYEWTKWQEYn1Re9K3obgiizzslWd8CNwypKzBuxEIBObrELRE3tn&#10;ssl4PMt6wMohSOU93V4cnHyZ+OtayfCmrr0KzJScagvpxHRu4pktF6JoULhWy2MZ4h+q6IS2lPRE&#10;dSGCYFvUf1F1WiJ4qMNIQpdBXWupUg/UTT7+o5vrVjiVeiFxvDvJ5P8frXy9WyPTVcmfTjizoqMZ&#10;/fj49eeHT7efv99++8JyuieReucLil3ZNcY25WCv3RXI955ZWLXCNioVe7N3RBBwqyIo+w0VDe8o&#10;26Z/BRWFiW2AJNpQY8dqo93LIzYZ745GzEdCsSFNbX+amhoCk3SZz2az+bMpZ5J8Z5Oz+TSNNRNF&#10;5I1ohz68UNCx+FNyH1Dopg0rsJYWBDBPVYjdlQ+x6ntABFu41MakPTGW9SV/Pp1ME8CD0VV0xjCP&#10;zWZlkO1E3LT0JQnI8zAMYWurQxJjI06lJT1mvpPooPcGqv0a73SkBUi1HZc1bthDO6l9/6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7xVk32QAAAAgBAAAPAAAAAAAAAAEAIAAAADgAAABkcnMv&#10;ZG93bnJldi54bWxQSwECFAAUAAAACACHTuJAzHtk2O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40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400"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40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0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40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798528" behindDoc="0" locked="0" layoutInCell="1" allowOverlap="1">
                <wp:simplePos x="0" y="0"/>
                <wp:positionH relativeFrom="column">
                  <wp:posOffset>947420</wp:posOffset>
                </wp:positionH>
                <wp:positionV relativeFrom="paragraph">
                  <wp:posOffset>300990</wp:posOffset>
                </wp:positionV>
                <wp:extent cx="1095375" cy="571500"/>
                <wp:effectExtent l="0" t="0" r="28575" b="19050"/>
                <wp:wrapNone/>
                <wp:docPr id="41" name="自选图形 14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95375" cy="571500"/>
                        </a:xfrm>
                        <a:prstGeom prst="straightConnector1">
                          <a:avLst/>
                        </a:prstGeom>
                        <a:noFill/>
                        <a:ln w="9525">
                          <a:solidFill>
                            <a:srgbClr val="000000"/>
                          </a:solidFill>
                          <a:round/>
                        </a:ln>
                        <a:effectLst/>
                      </wps:spPr>
                      <wps:bodyPr/>
                    </wps:wsp>
                  </a:graphicData>
                </a:graphic>
              </wp:anchor>
            </w:drawing>
          </mc:Choice>
          <mc:Fallback>
            <w:pict>
              <v:shape id="自选图形 143" o:spid="_x0000_s1026" o:spt="32" type="#_x0000_t32" style="position:absolute;left:0pt;flip:x y;margin-left:74.6pt;margin-top:23.7pt;height:45pt;width:86.25pt;z-index:251798528;mso-width-relative:page;mso-height-relative:page;" filled="f" stroked="t" coordsize="21600,21600" o:gfxdata="UEsFBgAAAAAAAAAAAAAAAAAAAAAAAFBLAwQKAAAAAACHTuJAAAAAAAAAAAAAAAAABAAAAGRycy9Q&#10;SwMEFAAAAAgAh07iQDopqPrZAAAACgEAAA8AAABkcnMvZG93bnJldi54bWxNj8FOwzAQRO9I/Qdr&#10;K3FB1EkaNTTE6QGJiopDRYs4O/E2iYjXUew2ha9nOcFxdp5mZ4rN1fbigqPvHCmIFxEIpNqZjhoF&#10;78fn+wcQPmgyuneECr7Qw6ac3RQ6N26iN7wcQiM4hHyuFbQhDLmUvm7Rar9wAxJ7JzdaHViOjTSj&#10;njjc9jKJopW0uiP+0OoBn1qsPw9nqyBdHavtVOMuk/vvyby+fGx3d1ap23kcPYIIeA1/MPzW5+pQ&#10;cqfKncl40bNO1wmjHJalIBhYJnEGomJnyRdZFvL/hPIHUEsDBBQAAAAIAIdO4kAh2ALB7AEAAJoD&#10;AAAOAAAAZHJzL2Uyb0RvYy54bWytU8Fu1DAQvSPxD5bvbJJtQ2m02R62KhwKrNTC3es4iYXtscbe&#10;TfbGDfEN3HrkH+BvKrV/ge3dbgvcEDlYGc+8NzNvxrOzUSuyEegkmJoWk5wSYTg00nQ1/XB98eIV&#10;Jc4z0zAFRtR0Kxw9mz9/NhtsJabQg2oEkkBiXDXYmvbe2yrLHO+FZm4CVpjgbAE188HELmuQDYFd&#10;q2ya5y+zAbCxCFw4F27Pd046T/xtK7h/37ZOeKJqGmrz6cR0ruKZzWes6pDZXvJ9GewfqtBMmpD0&#10;QHXOPCNrlH9RackRHLR+wkFn0LaSi9RD6KbI/+jmqmdWpF6COM4eZHL/j5a/2yyRyKamxwUlhukw&#10;o7sv3+8/f7399vP2xw0pjo+iSIN1VYhdmCXGNvloruwl8E+OGFj0zHQiFXu9tYHA41pEUPYbKhrO&#10;hmyr4S00IYytPSTRxhY1aZW0b/bYZHzcGzFfEIqMaWrbw9TE6AkPl0V+Wh6dlJTw4CtPijJPY81Y&#10;FXkj2qLzrwVoEn9q6jwy2fV+AcaEBQEsUhVsc+l8rPoREMEGLqRSaU+UIUNNT8tpmQAOlGyiM4Y5&#10;7FYLhWTD4qalL0kQPE/DENam2SVRJuJEWtJ95geJdnqvoNku8UHHsACptv2yxg17aie1H5/U/B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6Kaj62QAAAAoBAAAPAAAAAAAAAAEAIAAAADgAAABkcnMv&#10;ZG93bnJldi54bWxQSwECFAAUAAAACACHTuJAIdgCwe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2-14    </w:t>
      </w:r>
      <w:r>
        <w:rPr>
          <w:rFonts w:hint="eastAsia" w:ascii="仿宋" w:hAnsi="仿宋" w:eastAsia="仿宋" w:cs="仿宋"/>
          <w:b/>
          <w:bCs/>
          <w:sz w:val="24"/>
          <w:szCs w:val="24"/>
          <w:u w:color="000000"/>
        </w:rPr>
        <w:t>头道桥镇一级工业用地基准地价修正系数表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5"/>
        <w:gridCol w:w="1701"/>
        <w:gridCol w:w="103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799552" behindDoc="0" locked="0" layoutInCell="1" allowOverlap="1">
                      <wp:simplePos x="0" y="0"/>
                      <wp:positionH relativeFrom="column">
                        <wp:posOffset>-36830</wp:posOffset>
                      </wp:positionH>
                      <wp:positionV relativeFrom="paragraph">
                        <wp:posOffset>48260</wp:posOffset>
                      </wp:positionV>
                      <wp:extent cx="2085975" cy="342900"/>
                      <wp:effectExtent l="0" t="0" r="28575" b="19050"/>
                      <wp:wrapNone/>
                      <wp:docPr id="40" name="自选图形 14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85975" cy="342900"/>
                              </a:xfrm>
                              <a:prstGeom prst="straightConnector1">
                                <a:avLst/>
                              </a:prstGeom>
                              <a:noFill/>
                              <a:ln w="9525">
                                <a:solidFill>
                                  <a:srgbClr val="000000"/>
                                </a:solidFill>
                                <a:round/>
                              </a:ln>
                              <a:effectLst/>
                            </wps:spPr>
                            <wps:bodyPr/>
                          </wps:wsp>
                        </a:graphicData>
                      </a:graphic>
                    </wp:anchor>
                  </w:drawing>
                </mc:Choice>
                <mc:Fallback>
                  <w:pict>
                    <v:shape id="自选图形 145" o:spid="_x0000_s1026" o:spt="32" type="#_x0000_t32" style="position:absolute;left:0pt;flip:x y;margin-left:-2.9pt;margin-top:3.8pt;height:27pt;width:164.25pt;z-index:251799552;mso-width-relative:page;mso-height-relative:page;" filled="f" stroked="t" coordsize="21600,21600" o:gfxdata="UEsFBgAAAAAAAAAAAAAAAAAAAAAAAFBLAwQKAAAAAACHTuJAAAAAAAAAAAAAAAAABAAAAGRycy9Q&#10;SwMEFAAAAAgAh07iQBX6wuTYAAAABwEAAA8AAABkcnMvZG93bnJldi54bWxNzjFPwzAQBeAdif9g&#10;HRILap0EcFDIpQMSFRUDoq06O/GRRMTnKHabwq/HTDCe3um9r1yd7SBONPneMUK6TEAQN8703CLs&#10;d8+LBxA+aDZ6cEwIX+RhVV1elLowbuZ3Om1DK2IJ+0IjdCGMhZS+6chqv3Qjccw+3GR1iOfUSjPp&#10;OZbbQWZJoqTVPceFTo/01FHzuT1ahDu1q9dzQ5tcvn3P5vXlsN7cWMTrqzR5BBHoHP6e4Zcf6VBF&#10;U+2ObLwYEBb3UR4QcgUixrdZloOoEVSqQFal/O+vfgBQSwMEFAAAAAgAh07iQM0WASLrAQAAmgMA&#10;AA4AAABkcnMvZTJvRG9jLnhtbK1TwY7TMBC9I/EPlu80aWlhGzXdQ1cLhwUq7cLddZzEwvFYY7dJ&#10;b9wQ38CNI/8Af7MS/AVjt9td4IbIwcp45r2ZeTNenA+dYTuFXoMt+XiUc6ashErbpuRvby6fnHHm&#10;g7CVMGBVyffK8/Pl40eL3hVqAi2YSiEjEuuL3pW8DcEVWeZlqzrhR+CUJWcN2IlAJjZZhaIn9s5k&#10;kzx/lvWAlUOQynu6vTg4+TLx17WS4U1dexWYKTnVFtKJ6dzEM1suRNGgcK2WxzLEP1TRCW0p6Ynq&#10;QgTBtqj/ouq0RPBQh5GELoO61lKlHqibcf5HN9etcCr1QuJ4d5LJ/z9a+Xq3Rqarkk9JHis6mtGP&#10;j19/fvh0+/n77bcvbDydRZF65wuKXdk1xjblYK/dFcj3nllYtcI2KhV7s3dEEHCrIij7DRUN7yjb&#10;pn8FFYWJbYAk2lBjx2qj3csjNhnvjkbMR0KxIU1tf5qaGgKTdDnJz2bz5zPOJPmeTifzPI01E0Xk&#10;jWiHPrxQ0LH4U3IfUOimDSuwlhYEcJyqELsrH2LV94AItnCpjUl7YizrSz6fTWYJ4MHoKjpjmMdm&#10;szLIdiJuWvqSBOR5GIawtdUhibERp9KSHjPfSXTQewPVfo13OtICpNqOyxo37KGd1L5/U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FfrC5NgAAAAHAQAADwAAAAAAAAABACAAAAA4AAAAZHJzL2Rv&#10;d25yZXYueG1sUEsBAhQAFAAAAAgAh07iQM0WASLrAQAAmgMAAA4AAAAAAAAAAQAgAAAAPQ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0.0424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0.0212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bl>
    <w:p>
      <w:pPr>
        <w:tabs>
          <w:tab w:val="left" w:pos="6824"/>
        </w:tabs>
        <w:ind w:firstLine="0" w:firstLineChars="0"/>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2-15    </w:t>
      </w:r>
      <w:r>
        <w:rPr>
          <w:rFonts w:hint="eastAsia" w:ascii="仿宋" w:hAnsi="仿宋" w:eastAsia="仿宋" w:cs="仿宋"/>
          <w:b/>
          <w:bCs/>
          <w:sz w:val="24"/>
          <w:szCs w:val="24"/>
          <w:u w:color="000000"/>
        </w:rPr>
        <w:t>头道桥镇二级工业用地影响因素指标说明表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519"/>
        <w:gridCol w:w="1285"/>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804"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0576" behindDoc="0" locked="0" layoutInCell="1" allowOverlap="1">
                      <wp:simplePos x="0" y="0"/>
                      <wp:positionH relativeFrom="column">
                        <wp:posOffset>680720</wp:posOffset>
                      </wp:positionH>
                      <wp:positionV relativeFrom="paragraph">
                        <wp:posOffset>-10160</wp:posOffset>
                      </wp:positionV>
                      <wp:extent cx="1012190" cy="504825"/>
                      <wp:effectExtent l="0" t="0" r="16510" b="28575"/>
                      <wp:wrapNone/>
                      <wp:docPr id="37" name="自选图形 14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2190" cy="504825"/>
                              </a:xfrm>
                              <a:prstGeom prst="straightConnector1">
                                <a:avLst/>
                              </a:prstGeom>
                              <a:noFill/>
                              <a:ln w="9525">
                                <a:solidFill>
                                  <a:srgbClr val="000000"/>
                                </a:solidFill>
                                <a:round/>
                              </a:ln>
                              <a:effectLst/>
                            </wps:spPr>
                            <wps:bodyPr/>
                          </wps:wsp>
                        </a:graphicData>
                      </a:graphic>
                    </wp:anchor>
                  </w:drawing>
                </mc:Choice>
                <mc:Fallback>
                  <w:pict>
                    <v:shape id="自选图形 146" o:spid="_x0000_s1026" o:spt="32" type="#_x0000_t32" style="position:absolute;left:0pt;flip:x y;margin-left:53.6pt;margin-top:-0.8pt;height:39.75pt;width:79.7pt;z-index:251800576;mso-width-relative:page;mso-height-relative:page;" filled="f" stroked="t" coordsize="21600,21600" o:gfxdata="UEsFBgAAAAAAAAAAAAAAAAAAAAAAAFBLAwQKAAAAAACHTuJAAAAAAAAAAAAAAAAABAAAAGRycy9Q&#10;SwMEFAAAAAgAh07iQD8LAeTZAAAACQEAAA8AAABkcnMvZG93bnJldi54bWxNj8FOwzAMhu9IvENk&#10;JC5oS1qhlnVNd0BiYuKA2BDntDFtReNUTbYOnh5zYjf/8qffn8vN2Q3ihFPoPWlIlgoEUuNtT62G&#10;98PT4gFEiIasGTyhhm8MsKmur0pTWD/TG572sRVcQqEwGroYx0LK0HToTFj6EYl3n35yJnKcWmkn&#10;M3O5G2SqVCad6YkvdGbExw6br/3RabjPDvV2bnCXy9ef2b48f2x3d07r25tErUFEPMd/GP70WR0q&#10;dqr9kWwQA2eVp4xqWCQZCAbSLOOh1pDnK5BVKS8/qH4BUEsDBBQAAAAIAIdO4kCmb0TA6QEAAJoD&#10;AAAOAAAAZHJzL2Uyb0RvYy54bWytU8Fu1DAQvSPxD5bvbJKlLW202R62KhwKrNTC3es4iYXjscbe&#10;ze6NG+IbuPXIP8DfVIK/YOxNtxRuiBysTMbz3ps3k9n5tjdso9BrsBUvJjlnykqotW0r/u7m8tkp&#10;Zz4IWwsDVlV8pzw/nz99MhtcqabQgakVMgKxvhxcxbsQXJllXnaqF34CTllKNoC9CBRim9UoBkLv&#10;TTbN85NsAKwdglTe09eLfZLPE37TKBneNo1XgZmKk7aQTkznKp7ZfCbKFoXrtBxliH9Q0QttifQA&#10;dSGCYGvUf0H1WiJ4aMJEQp9B02ipUg/UTZH/0c11J5xKvZA53h1s8v8PVr7ZLJHpuuLPX3BmRU8z&#10;+vHp68+Pn+++fL/7dsuKo5No0uB8SXcXdomxTbm11+4K5AfPLCw6YVuVxN7sHAEEXKtYlD2qioF3&#10;xLYaXkNN18Q6QDJt22DPGqPdq7E2Be/HIPKRUWybprY7TE1tA5P0sciLaXFGw5WUO86PTqfHiVyU&#10;ETdWO/ThpYKexZeK+4BCt11YgLW0IIBFUiE2Vz5E1Q8FsdjCpTYm7YmxbKj42TERxIwHo+uYTAG2&#10;q4VBthFx09Izqnh0DWFt6z2JsbFOpSUdme8t2vu9gnq3xHsfaQGStnFZ44b9Hie3H36p+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CwHk2QAAAAkBAAAPAAAAAAAAAAEAIAAAADgAAABkcnMvZG93&#10;bnJldi54bWxQSwECFAAUAAAACACHTuJApm9EwOkBAACa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1600" behindDoc="0" locked="0" layoutInCell="1" allowOverlap="1">
                      <wp:simplePos x="0" y="0"/>
                      <wp:positionH relativeFrom="column">
                        <wp:posOffset>-62230</wp:posOffset>
                      </wp:positionH>
                      <wp:positionV relativeFrom="paragraph">
                        <wp:posOffset>78740</wp:posOffset>
                      </wp:positionV>
                      <wp:extent cx="1764665" cy="266700"/>
                      <wp:effectExtent l="0" t="0" r="26035" b="19050"/>
                      <wp:wrapNone/>
                      <wp:docPr id="36" name="自选图形 14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64665" cy="266700"/>
                              </a:xfrm>
                              <a:prstGeom prst="straightConnector1">
                                <a:avLst/>
                              </a:prstGeom>
                              <a:noFill/>
                              <a:ln w="9525">
                                <a:solidFill>
                                  <a:srgbClr val="000000"/>
                                </a:solidFill>
                                <a:round/>
                              </a:ln>
                              <a:effectLst/>
                            </wps:spPr>
                            <wps:bodyPr/>
                          </wps:wsp>
                        </a:graphicData>
                      </a:graphic>
                    </wp:anchor>
                  </w:drawing>
                </mc:Choice>
                <mc:Fallback>
                  <w:pict>
                    <v:shape id="自选图形 147" o:spid="_x0000_s1026" o:spt="32" type="#_x0000_t32" style="position:absolute;left:0pt;flip:x y;margin-left:-4.9pt;margin-top:6.2pt;height:21pt;width:138.95pt;z-index:251801600;mso-width-relative:page;mso-height-relative:page;" filled="f" stroked="t" coordsize="21600,21600" o:gfxdata="UEsFBgAAAAAAAAAAAAAAAAAAAAAAAFBLAwQKAAAAAACHTuJAAAAAAAAAAAAAAAAABAAAAGRycy9Q&#10;SwMEFAAAAAgAh07iQAE5KfbZAAAACAEAAA8AAABkcnMvZG93bnJldi54bWxNj8FOwzAQRO9I/Qdr&#10;kbig1kkUQglxeqhERcWhaos4O/GSRMTrKHabwteznOhxZ0Yzb4vVxfbijKPvHCmIFxEIpNqZjhoF&#10;78eX+RKED5qM7h2hgm/0sCpnN4XOjZtoj+dDaASXkM+1gjaEIZfS1y1a7RduQGLv041WBz7HRppR&#10;T1xue5lEUSat7ogXWj3gusX663CyCtLsWG2mGrePcvczmbfXj8323ip1dxtHzyACXsJ/GP7wGR1K&#10;ZqrciYwXvYL5E5MH1pMUBPtJtoxBVAoe0hRkWcjrB8pfUEsDBBQAAAAIAIdO4kADH5iN7AEAAJoD&#10;AAAOAAAAZHJzL2Uyb0RvYy54bWytU8GO0zAQvSPxD5bvNEnZphA13UNXC4cFKu3C3bWdxMLxWGO3&#10;aW/cEN/AjSP/AH+zEvwFtpvtLnBD5GBlPPPezLwZL873vSY7iU6BqWkxySmRhoNQpq3p25vLJ88o&#10;cZ4ZwTQYWdODdPR8+fjRYrCVnEIHWkgkgcS4arA17by3VZY53smeuQlYaYKzAeyZDya2mUA2BPZe&#10;Z9M8L7MBUFgELp0LtxdHJ10m/qaR3L9pGic90TUNtfl0Yjo38cyWC1a1yGyn+FgG+4cqeqZMSHqi&#10;umCekS2qv6h6xREcNH7Coc+gaRSXqYfQTZH/0c11x6xMvQRxnD3J5P4fLX+9WyNRoqZPS0oM68OM&#10;fnz8+vPDp9vP32+/fSHF2TyKNFhXhdiVWWNsk+/Ntb0C/t4RA6uOmVamYm8ONhB43MoIyn5DRcPZ&#10;kG0zvAIRwtjWQxJt32BPGq3syxGbjHejEfMFocg+Te1wmprce8LDZTEvz8pyRgkPvmlZzvM01oxV&#10;kTeiLTr/QkJP4k9NnUem2s6vwJiwIIBFqoLtrpyPVd8DItjApdI67Yk2ZKjp89l0lgAOtBLRGcMc&#10;tpuVRrJjcdPSlyQInodhCFsjjkm0iTiZlnTMfCfRUe8NiMMa73QMC5BqG5c1bthDO6l9/6S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BOSn22QAAAAgBAAAPAAAAAAAAAAEAIAAAADgAAABkcnMv&#10;ZG93bnJldi54bWxQSwECFAAUAAAACACHTuJAAx+Yjew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803648" behindDoc="0" locked="0" layoutInCell="1" allowOverlap="1">
                <wp:simplePos x="0" y="0"/>
                <wp:positionH relativeFrom="column">
                  <wp:posOffset>948055</wp:posOffset>
                </wp:positionH>
                <wp:positionV relativeFrom="paragraph">
                  <wp:posOffset>291465</wp:posOffset>
                </wp:positionV>
                <wp:extent cx="914400" cy="581025"/>
                <wp:effectExtent l="0" t="0" r="19050" b="28575"/>
                <wp:wrapNone/>
                <wp:docPr id="35" name="自选图形 14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14400" cy="581025"/>
                        </a:xfrm>
                        <a:prstGeom prst="straightConnector1">
                          <a:avLst/>
                        </a:prstGeom>
                        <a:noFill/>
                        <a:ln w="9525">
                          <a:solidFill>
                            <a:srgbClr val="000000"/>
                          </a:solidFill>
                          <a:round/>
                        </a:ln>
                        <a:effectLst/>
                      </wps:spPr>
                      <wps:bodyPr/>
                    </wps:wsp>
                  </a:graphicData>
                </a:graphic>
              </wp:anchor>
            </w:drawing>
          </mc:Choice>
          <mc:Fallback>
            <w:pict>
              <v:shape id="自选图形 149" o:spid="_x0000_s1026" o:spt="32" type="#_x0000_t32" style="position:absolute;left:0pt;flip:x y;margin-left:74.65pt;margin-top:22.95pt;height:45.75pt;width:72pt;z-index:251803648;mso-width-relative:page;mso-height-relative:page;" filled="f" stroked="t" coordsize="21600,21600" o:gfxdata="UEsFBgAAAAAAAAAAAAAAAAAAAAAAAFBLAwQKAAAAAACHTuJAAAAAAAAAAAAAAAAABAAAAGRycy9Q&#10;SwMEFAAAAAgAh07iQNmFsxnaAAAACgEAAA8AAABkcnMvZG93bnJldi54bWxNj0FPwkAQhe8k/ofN&#10;mHgxsoUWsLVbDiYSCQciGM/b7tg2dmeb7kLRX+94kuOb9+XNe/n6YjtxxsG3jhTMphEIpMqZlmoF&#10;78eXh0cQPmgyunOECr7Rw7q4meQ6M26kNzwfQi04hHymFTQh9JmUvmrQaj91PRJ7n26wOrAcamkG&#10;PXK47eQ8ipbS6pb4Q6N7fG6w+jqcrIJkeSw3Y4Xbldz/jGb3+rHZ3lul7m5n0ROIgJfwD8Nffa4O&#10;BXcq3YmMFx3rJI0Z5bBFCoKBeRrzoWQnXiUgi1xeTyh+AVBLAwQUAAAACACHTuJALkW/yecBAACZ&#10;AwAADgAAAGRycy9lMm9Eb2MueG1srVPBjtMwEL0j8Q+W7zRJadFu1HQPXS0cFlhpF+6u4yQWjsca&#10;u01744b4Bm4c9x/gb1aCv2DsZrss3BA5WJmM5703byaLs11v2Fah12ArXkxyzpSVUGvbVvzdzcWz&#10;E858ELYWBqyq+F55frZ8+mQxuFJNoQNTK2QEYn05uIp3Ibgyy7zsVC/8BJyylGwAexEoxDarUQyE&#10;3ptsmucvsgGwdghSeU9fzw9Jvkz4TaNkeNs0XgVmKk7aQjoxnet4ZsuFKFsUrtNylCH+QUUvtCXS&#10;I9S5CIJtUP8F1WuJ4KEJEwl9Bk2jpUo9UDdF/kc3151wKvVC5nh3tMn/P1j5ZnuFTNcVfz7nzIqe&#10;ZvTj0+3Pj5/vvny/+/aVFbPTaNLgfEl3V/YKY5tyZ6/dJcgPnllYdcK2Kom92TsCCLhRsSh7VBUD&#10;74htPbyGmq6JTYBk2q7BnjVGu1djbQrej0HkI6PYLk1tf5ya2gUm6eNpMZvlNFtJqflJkU/niVuU&#10;ETYWO/ThpYKexZeK+4BCt11YgbW0H4BFEiG2lz5E0Q8FsdjChTYmrYmxbCC6ORHEjAej65hMAbbr&#10;lUG2FXHR0jOqeHQNYWPrA4mxsU6lHR2Z7x062L2Gen+F9zbS/JO2cVfjgv0eJ7Mf/qj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mFsxnaAAAACgEAAA8AAAAAAAAAAQAgAAAAOAAAAGRycy9kb3du&#10;cmV2LnhtbFBLAQIUABQAAAAIAIdO4kAuRb/J5wEAAJkDAAAOAAAAAAAAAAEAIAAAAD8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2-16    </w:t>
      </w:r>
      <w:r>
        <w:rPr>
          <w:rFonts w:hint="eastAsia" w:ascii="仿宋" w:hAnsi="仿宋" w:eastAsia="仿宋" w:cs="仿宋"/>
          <w:b/>
          <w:bCs/>
          <w:sz w:val="24"/>
          <w:szCs w:val="24"/>
          <w:u w:color="000000"/>
        </w:rPr>
        <w:t>头道桥镇二级工业用地基准地价修正系数表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164"/>
        <w:gridCol w:w="1672"/>
        <w:gridCol w:w="120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2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2624" behindDoc="0" locked="0" layoutInCell="1" allowOverlap="1">
                      <wp:simplePos x="0" y="0"/>
                      <wp:positionH relativeFrom="column">
                        <wp:posOffset>-22860</wp:posOffset>
                      </wp:positionH>
                      <wp:positionV relativeFrom="paragraph">
                        <wp:posOffset>115570</wp:posOffset>
                      </wp:positionV>
                      <wp:extent cx="1962150" cy="276225"/>
                      <wp:effectExtent l="0" t="0" r="19050" b="28575"/>
                      <wp:wrapNone/>
                      <wp:docPr id="34" name="自选图形 14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62150" cy="276225"/>
                              </a:xfrm>
                              <a:prstGeom prst="straightConnector1">
                                <a:avLst/>
                              </a:prstGeom>
                              <a:noFill/>
                              <a:ln w="9525">
                                <a:solidFill>
                                  <a:srgbClr val="000000"/>
                                </a:solidFill>
                                <a:round/>
                              </a:ln>
                              <a:effectLst/>
                            </wps:spPr>
                            <wps:bodyPr/>
                          </wps:wsp>
                        </a:graphicData>
                      </a:graphic>
                    </wp:anchor>
                  </w:drawing>
                </mc:Choice>
                <mc:Fallback>
                  <w:pict>
                    <v:shape id="自选图形 148" o:spid="_x0000_s1026" o:spt="32" type="#_x0000_t32" style="position:absolute;left:0pt;flip:x y;margin-left:-1.8pt;margin-top:9.1pt;height:21.75pt;width:154.5pt;z-index:251802624;mso-width-relative:page;mso-height-relative:page;" filled="f" stroked="t" coordsize="21600,21600" o:gfxdata="UEsFBgAAAAAAAAAAAAAAAAAAAAAAAFBLAwQKAAAAAACHTuJAAAAAAAAAAAAAAAAABAAAAGRycy9Q&#10;SwMEFAAAAAgAh07iQN5uZpTZAAAACAEAAA8AAABkcnMvZG93bnJldi54bWxNj8FOwzAQRO9I/IO1&#10;SFxQa6ctaRXi9IBERcWhokU9O/E2iYjXUew2ha9nOcFxdkYzb/P11XXigkNoPWlIpgoEUuVtS7WG&#10;j8PLZAUiREPWdJ5QwxcGWBe3N7nJrB/pHS/7WAsuoZAZDU2MfSZlqBp0Jkx9j8TeyQ/ORJZDLe1g&#10;Ri53nZwplUpnWuKFxvT43GD1uT87DYv0UG7GCrdLufse7dvrcbN9cFrf3yXqCUTEa/wLwy8+o0PB&#10;TKU/kw2i0zCZp5zk+2oGgv25elyAKDWkyRJkkcv/DxQ/UEsDBBQAAAAIAIdO4kAmMfuv6gEAAJoD&#10;AAAOAAAAZHJzL2Uyb0RvYy54bWytU8GO0zAQvSPxD5bvNE3Ylt2o6R66WjgsUGkX7q5jJxaOxxq7&#10;TXrjhvgGbnvkH+BvVoK/wHazXRZuiBysTMbz3ps3k8X50GmyE+gUmIrmkyklwnColWkq+u7m8tkp&#10;Jc4zUzMNRlR0Lxw9Xz59suhtKQpoQdcCSQAxruxtRVvvbZlljreiY24CVpiQlIAd8yHEJquR9QG9&#10;01kxnc6zHrC2CFw4F75eHJJ0mfClFNy/ldIJT3RFgzafTkznJp7ZcsHKBpltFR9lsH9Q0TFlAukR&#10;6oJ5Rrao/oLqFEdwIP2EQ5eBlIqL1EPoJp/+0c11y6xIvQRznD3a5P4fLH+zWyNRdUWfn1BiWBdm&#10;9OPT158fP999+X737ZbkJ6fRpN66MtxdmTXGNvlgru0V8A+OGFi1zDQiib3Z2wDgcStiUfaoKgbO&#10;BrZN/xrqcI1tPSTTBokdkVrZV2NtCt6PQeQLRpEhTW1/nJoYPOHhY342L/JZGC4PueLFvChmiZyV&#10;ETdWW3T+pYCOxJeKOo9MNa1fgTFhQQDzpILtrpyPqh8KYrGBS6V12hNtSF/Rs1kgiBkHWtUxmQJs&#10;NiuNZMfipqVnVPHoGsLW1AcSbWKdSEs6Mt9bdPB7A/V+jfc+hgVI2sZljRv2e5zcfvil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3m5mlNkAAAAIAQAADwAAAAAAAAABACAAAAA4AAAAZHJzL2Rv&#10;d25yZXYueG1sUEsBAhQAFAAAAAgAh07iQCYx+6/qAQAAmg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距货运站与物流园距离</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0.0350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0.0263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bl>
    <w:p>
      <w:pPr>
        <w:spacing w:before="156" w:beforeLines="50" w:after="156" w:afterLines="50"/>
        <w:ind w:firstLine="602"/>
        <w:jc w:val="both"/>
        <w:outlineLvl w:val="1"/>
        <w:rPr>
          <w:rFonts w:ascii="仿宋" w:hAnsi="仿宋" w:eastAsia="仿宋"/>
          <w:b/>
          <w:bCs/>
          <w:color w:val="000000"/>
          <w:kern w:val="0"/>
          <w:sz w:val="30"/>
          <w:szCs w:val="30"/>
          <w:u w:color="000000"/>
        </w:rPr>
      </w:pPr>
      <w:bookmarkStart w:id="23" w:name="_Toc143875232"/>
      <w:r>
        <w:rPr>
          <w:rFonts w:hint="eastAsia" w:ascii="仿宋" w:hAnsi="仿宋" w:eastAsia="仿宋"/>
          <w:b/>
          <w:bCs/>
          <w:color w:val="000000"/>
          <w:kern w:val="0"/>
          <w:sz w:val="30"/>
          <w:szCs w:val="30"/>
          <w:u w:color="000000"/>
        </w:rPr>
        <w:t>（二）</w:t>
      </w:r>
      <w:r>
        <w:rPr>
          <w:rFonts w:ascii="仿宋" w:hAnsi="仿宋" w:eastAsia="仿宋"/>
          <w:b/>
          <w:bCs/>
          <w:color w:val="000000"/>
          <w:kern w:val="0"/>
          <w:sz w:val="30"/>
          <w:szCs w:val="30"/>
          <w:u w:color="000000"/>
        </w:rPr>
        <w:t>其他修正体系</w:t>
      </w:r>
      <w:bookmarkEnd w:id="23"/>
    </w:p>
    <w:p>
      <w:pPr>
        <w:snapToGrid w:val="0"/>
        <w:ind w:firstLine="562"/>
        <w:jc w:val="both"/>
        <w:outlineLvl w:val="2"/>
        <w:rPr>
          <w:rFonts w:ascii="仿宋" w:hAnsi="仿宋" w:eastAsia="仿宋" w:cs="仿宋"/>
          <w:b/>
          <w:bCs/>
          <w:color w:val="000000"/>
          <w:kern w:val="0"/>
          <w:szCs w:val="28"/>
          <w:u w:color="000000"/>
        </w:rPr>
      </w:pPr>
      <w:bookmarkStart w:id="24" w:name="_Toc14620"/>
      <w:bookmarkStart w:id="25" w:name="_Toc21177"/>
      <w:bookmarkStart w:id="26" w:name="_Toc2398"/>
      <w:r>
        <w:rPr>
          <w:rFonts w:hint="eastAsia" w:ascii="仿宋" w:hAnsi="仿宋" w:eastAsia="仿宋" w:cs="仿宋"/>
          <w:b/>
          <w:bCs/>
          <w:color w:val="000000"/>
          <w:kern w:val="0"/>
          <w:szCs w:val="28"/>
          <w:u w:color="000000"/>
        </w:rPr>
        <w:t>1、土地使用年期</w:t>
      </w:r>
      <w:bookmarkEnd w:id="24"/>
      <w:bookmarkEnd w:id="25"/>
      <w:bookmarkEnd w:id="26"/>
    </w:p>
    <w:p>
      <w:pPr>
        <w:snapToGrid w:val="0"/>
        <w:ind w:firstLine="560"/>
        <w:jc w:val="both"/>
        <w:rPr>
          <w:rFonts w:ascii="仿宋" w:hAnsi="仿宋" w:eastAsia="仿宋" w:cs="仿宋"/>
          <w:szCs w:val="28"/>
        </w:rPr>
      </w:pPr>
      <w:r>
        <w:rPr>
          <w:rFonts w:hint="eastAsia" w:ascii="仿宋" w:hAnsi="仿宋" w:eastAsia="仿宋" w:cs="仿宋"/>
          <w:szCs w:val="28"/>
        </w:rPr>
        <w:t>（1）土地使用年期修正系数计算公式</w:t>
      </w:r>
    </w:p>
    <w:p>
      <w:pPr>
        <w:snapToGrid w:val="0"/>
        <w:ind w:firstLine="1400" w:firstLineChars="500"/>
        <w:jc w:val="both"/>
        <w:rPr>
          <w:rFonts w:ascii="仿宋" w:hAnsi="仿宋" w:eastAsia="仿宋" w:cs="仿宋"/>
          <w:szCs w:val="28"/>
        </w:rPr>
      </w:pPr>
      <w:r>
        <w:rPr>
          <w:rFonts w:hint="eastAsia" w:ascii="仿宋" w:hAnsi="仿宋" w:eastAsia="仿宋" w:cs="仿宋"/>
          <w:szCs w:val="28"/>
        </w:rPr>
        <w:drawing>
          <wp:inline distT="0" distB="0" distL="0" distR="0">
            <wp:extent cx="1243965" cy="457200"/>
            <wp:effectExtent l="0" t="0" r="0" b="0"/>
            <wp:docPr id="3" name="图片 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1"/>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243965" cy="457200"/>
                    </a:xfrm>
                    <a:prstGeom prst="rect">
                      <a:avLst/>
                    </a:prstGeom>
                    <a:noFill/>
                    <a:ln>
                      <a:noFill/>
                    </a:ln>
                  </pic:spPr>
                </pic:pic>
              </a:graphicData>
            </a:graphic>
          </wp:inline>
        </w:drawing>
      </w:r>
    </w:p>
    <w:p>
      <w:pPr>
        <w:snapToGrid w:val="0"/>
        <w:ind w:firstLine="560"/>
        <w:jc w:val="both"/>
        <w:rPr>
          <w:rFonts w:ascii="仿宋" w:hAnsi="仿宋" w:eastAsia="仿宋" w:cs="仿宋"/>
          <w:szCs w:val="28"/>
        </w:rPr>
      </w:pPr>
      <w:r>
        <w:rPr>
          <w:rFonts w:hint="eastAsia" w:ascii="仿宋" w:hAnsi="仿宋" w:eastAsia="仿宋" w:cs="仿宋"/>
          <w:szCs w:val="28"/>
        </w:rPr>
        <w:t>式中：K</w:t>
      </w:r>
      <w:r>
        <w:rPr>
          <w:rFonts w:hint="eastAsia" w:ascii="仿宋" w:hAnsi="仿宋" w:eastAsia="仿宋" w:cs="仿宋"/>
          <w:szCs w:val="28"/>
          <w:vertAlign w:val="subscript"/>
        </w:rPr>
        <w:t>n</w:t>
      </w:r>
      <w:r>
        <w:rPr>
          <w:rFonts w:hint="eastAsia" w:ascii="仿宋" w:hAnsi="仿宋" w:eastAsia="仿宋" w:cs="仿宋"/>
          <w:szCs w:val="28"/>
        </w:rPr>
        <w:t>——出让年期修正系数；</w:t>
      </w:r>
    </w:p>
    <w:p>
      <w:pPr>
        <w:snapToGrid w:val="0"/>
        <w:ind w:firstLine="1400" w:firstLineChars="500"/>
        <w:jc w:val="both"/>
        <w:rPr>
          <w:rFonts w:ascii="仿宋" w:hAnsi="仿宋" w:eastAsia="仿宋" w:cs="仿宋"/>
          <w:szCs w:val="28"/>
        </w:rPr>
      </w:pPr>
      <w:r>
        <w:rPr>
          <w:rFonts w:hint="eastAsia" w:ascii="仿宋" w:hAnsi="仿宋" w:eastAsia="仿宋" w:cs="仿宋"/>
          <w:szCs w:val="28"/>
        </w:rPr>
        <w:t>r</w:t>
      </w:r>
      <w:r>
        <w:rPr>
          <w:rFonts w:hint="eastAsia" w:ascii="仿宋" w:hAnsi="仿宋" w:eastAsia="仿宋" w:cs="仿宋"/>
          <w:szCs w:val="28"/>
          <w:vertAlign w:val="subscript"/>
        </w:rPr>
        <w:t>d</w:t>
      </w:r>
      <w:r>
        <w:rPr>
          <w:rFonts w:hint="eastAsia" w:ascii="仿宋" w:hAnsi="仿宋" w:eastAsia="仿宋" w:cs="仿宋"/>
          <w:szCs w:val="28"/>
        </w:rPr>
        <w:t>——土地还原率；</w:t>
      </w:r>
    </w:p>
    <w:p>
      <w:pPr>
        <w:snapToGrid w:val="0"/>
        <w:ind w:firstLine="1400" w:firstLineChars="500"/>
        <w:jc w:val="both"/>
        <w:rPr>
          <w:rFonts w:ascii="仿宋" w:hAnsi="仿宋" w:eastAsia="仿宋" w:cs="仿宋"/>
          <w:szCs w:val="28"/>
        </w:rPr>
      </w:pPr>
      <w:r>
        <w:rPr>
          <w:rFonts w:hint="eastAsia" w:ascii="仿宋" w:hAnsi="仿宋" w:eastAsia="仿宋" w:cs="仿宋"/>
          <w:szCs w:val="28"/>
        </w:rPr>
        <w:t>n——基准地价对应的土地使用年限；</w:t>
      </w:r>
    </w:p>
    <w:p>
      <w:pPr>
        <w:snapToGrid w:val="0"/>
        <w:ind w:firstLine="1400" w:firstLineChars="500"/>
        <w:jc w:val="both"/>
        <w:rPr>
          <w:rFonts w:ascii="仿宋" w:hAnsi="仿宋" w:eastAsia="仿宋" w:cs="仿宋"/>
          <w:szCs w:val="28"/>
        </w:rPr>
      </w:pPr>
      <w:r>
        <w:rPr>
          <w:rFonts w:hint="eastAsia" w:ascii="仿宋" w:hAnsi="仿宋" w:eastAsia="仿宋" w:cs="仿宋"/>
          <w:szCs w:val="28"/>
        </w:rPr>
        <w:t>m——实际出让年期或剩余出让年期。</w:t>
      </w:r>
    </w:p>
    <w:p>
      <w:pPr>
        <w:snapToGrid w:val="0"/>
        <w:ind w:firstLine="560"/>
        <w:jc w:val="both"/>
        <w:rPr>
          <w:rFonts w:ascii="仿宋" w:hAnsi="仿宋" w:eastAsia="仿宋" w:cs="仿宋"/>
          <w:szCs w:val="28"/>
        </w:rPr>
      </w:pPr>
      <w:r>
        <w:rPr>
          <w:rFonts w:hint="eastAsia" w:ascii="仿宋" w:hAnsi="仿宋" w:eastAsia="仿宋" w:cs="仿宋"/>
          <w:szCs w:val="28"/>
        </w:rPr>
        <w:t>（2）土地使用年期修正系数</w:t>
      </w:r>
    </w:p>
    <w:p>
      <w:pPr>
        <w:snapToGrid w:val="0"/>
        <w:ind w:firstLine="560"/>
        <w:jc w:val="both"/>
        <w:rPr>
          <w:rFonts w:ascii="仿宋" w:hAnsi="仿宋" w:eastAsia="仿宋" w:cs="仿宋"/>
          <w:b/>
          <w:bCs/>
          <w:sz w:val="24"/>
          <w:szCs w:val="24"/>
        </w:rPr>
      </w:pPr>
      <w:r>
        <w:rPr>
          <w:rFonts w:hint="eastAsia" w:ascii="仿宋" w:hAnsi="仿宋" w:eastAsia="仿宋" w:cs="仿宋"/>
          <w:szCs w:val="28"/>
        </w:rPr>
        <w:t>根据上述公式，分别测算出各类用地土地使用年期修正系数(详见表2-1</w:t>
      </w:r>
      <w:r>
        <w:rPr>
          <w:rFonts w:ascii="仿宋" w:hAnsi="仿宋" w:eastAsia="仿宋" w:cs="仿宋"/>
          <w:szCs w:val="28"/>
        </w:rPr>
        <w:t>7</w:t>
      </w:r>
      <w:r>
        <w:rPr>
          <w:rFonts w:hint="eastAsia" w:ascii="仿宋" w:hAnsi="仿宋" w:eastAsia="仿宋" w:cs="仿宋"/>
          <w:szCs w:val="28"/>
        </w:rPr>
        <w:t>到2-</w:t>
      </w:r>
      <w:r>
        <w:rPr>
          <w:rFonts w:ascii="仿宋" w:hAnsi="仿宋" w:eastAsia="仿宋" w:cs="仿宋"/>
          <w:szCs w:val="28"/>
        </w:rPr>
        <w:t>19</w:t>
      </w:r>
      <w:r>
        <w:rPr>
          <w:rFonts w:hint="eastAsia" w:ascii="仿宋" w:hAnsi="仿宋" w:eastAsia="仿宋" w:cs="仿宋"/>
          <w:szCs w:val="28"/>
        </w:rPr>
        <w:t>)。</w:t>
      </w:r>
    </w:p>
    <w:p>
      <w:pPr>
        <w:pStyle w:val="16"/>
        <w:tabs>
          <w:tab w:val="left" w:pos="705"/>
        </w:tabs>
        <w:spacing w:line="360" w:lineRule="auto"/>
        <w:jc w:val="left"/>
        <w:rPr>
          <w:rFonts w:ascii="仿宋" w:hAnsi="仿宋" w:eastAsia="仿宋" w:cs="仿宋"/>
          <w:b/>
          <w:bCs/>
          <w:sz w:val="24"/>
          <w:szCs w:val="24"/>
        </w:rPr>
      </w:pPr>
    </w:p>
    <w:p>
      <w:pPr>
        <w:pStyle w:val="16"/>
        <w:tabs>
          <w:tab w:val="left" w:pos="705"/>
        </w:tabs>
        <w:spacing w:line="360" w:lineRule="auto"/>
        <w:rPr>
          <w:rFonts w:ascii="仿宋" w:hAnsi="仿宋" w:eastAsia="仿宋" w:cs="仿宋"/>
          <w:bCs/>
          <w:sz w:val="28"/>
          <w:szCs w:val="28"/>
        </w:rPr>
      </w:pPr>
      <w:r>
        <w:rPr>
          <w:rFonts w:hint="eastAsia" w:ascii="仿宋" w:hAnsi="仿宋" w:eastAsia="仿宋" w:cs="仿宋"/>
          <w:b/>
          <w:bCs/>
          <w:sz w:val="24"/>
          <w:szCs w:val="24"/>
        </w:rPr>
        <w:t>表2-</w:t>
      </w:r>
      <w:r>
        <w:rPr>
          <w:rFonts w:ascii="仿宋" w:hAnsi="仿宋" w:eastAsia="仿宋" w:cs="仿宋"/>
          <w:b/>
          <w:bCs/>
          <w:sz w:val="24"/>
          <w:szCs w:val="24"/>
        </w:rPr>
        <w:t>17</w:t>
      </w:r>
      <w:r>
        <w:rPr>
          <w:rFonts w:hint="eastAsia" w:ascii="仿宋" w:hAnsi="仿宋" w:eastAsia="仿宋" w:cs="仿宋"/>
          <w:b/>
          <w:bCs/>
          <w:sz w:val="24"/>
          <w:szCs w:val="24"/>
        </w:rPr>
        <w:t xml:space="preserve">  头道桥镇商服用地使用年期修正系数表</w:t>
      </w:r>
    </w:p>
    <w:tbl>
      <w:tblPr>
        <w:tblStyle w:val="37"/>
        <w:tblW w:w="9231" w:type="dxa"/>
        <w:jc w:val="center"/>
        <w:tblLayout w:type="fixed"/>
        <w:tblCellMar>
          <w:top w:w="0" w:type="dxa"/>
          <w:left w:w="57" w:type="dxa"/>
          <w:bottom w:w="0" w:type="dxa"/>
          <w:right w:w="57" w:type="dxa"/>
        </w:tblCellMar>
      </w:tblPr>
      <w:tblGrid>
        <w:gridCol w:w="1227"/>
        <w:gridCol w:w="979"/>
        <w:gridCol w:w="979"/>
        <w:gridCol w:w="1010"/>
        <w:gridCol w:w="993"/>
        <w:gridCol w:w="973"/>
        <w:gridCol w:w="1054"/>
        <w:gridCol w:w="1039"/>
        <w:gridCol w:w="977"/>
      </w:tblGrid>
      <w:tr>
        <w:tblPrEx>
          <w:tblCellMar>
            <w:top w:w="0" w:type="dxa"/>
            <w:left w:w="57" w:type="dxa"/>
            <w:bottom w:w="0" w:type="dxa"/>
            <w:right w:w="57" w:type="dxa"/>
          </w:tblCellMar>
        </w:tblPrEx>
        <w:trPr>
          <w:trHeight w:val="312" w:hRule="atLeast"/>
          <w:jc w:val="center"/>
        </w:trPr>
        <w:tc>
          <w:tcPr>
            <w:tcW w:w="1227" w:type="dxa"/>
            <w:tcBorders>
              <w:top w:val="single" w:color="auto" w:sz="8" w:space="0"/>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kern w:val="0"/>
                <w:sz w:val="24"/>
                <w:szCs w:val="24"/>
                <w:u w:color="000000"/>
              </w:rPr>
            </w:pPr>
            <w:r>
              <w:rPr>
                <w:rFonts w:hint="eastAsia" w:eastAsia="仿宋"/>
                <w:color w:val="000000"/>
                <w:kern w:val="0"/>
                <w:sz w:val="24"/>
                <w:szCs w:val="24"/>
                <w:u w:color="000000"/>
              </w:rPr>
              <w:t>1</w:t>
            </w:r>
          </w:p>
        </w:tc>
        <w:tc>
          <w:tcPr>
            <w:tcW w:w="979"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1010"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993"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73" w:type="dxa"/>
            <w:tcBorders>
              <w:top w:val="single" w:color="auto" w:sz="8" w:space="0"/>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1054" w:type="dxa"/>
            <w:tcBorders>
              <w:top w:val="single" w:color="auto" w:sz="8" w:space="0"/>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1039" w:type="dxa"/>
            <w:tcBorders>
              <w:top w:val="single" w:color="auto" w:sz="8" w:space="0"/>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77" w:type="dxa"/>
            <w:tcBorders>
              <w:top w:val="single" w:color="auto" w:sz="8" w:space="0"/>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0.0660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0.1280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0.1863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0.2410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0.2924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0.3407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0.3861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0.4287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0.4687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0.5063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0.5416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0.5748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0.6060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0.6353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0.6628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0.6887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0.7130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0.7358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0.7572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0.7773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0.7962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0.8140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0.8307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0.8464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0.8611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0.8749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0.8879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0.9001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0.9116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0.9224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0.9325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0.9420 </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CellMar>
            <w:top w:w="0" w:type="dxa"/>
            <w:left w:w="57" w:type="dxa"/>
            <w:bottom w:w="0" w:type="dxa"/>
            <w:right w:w="57" w:type="dxa"/>
          </w:tblCellMar>
        </w:tblPrEx>
        <w:trPr>
          <w:trHeight w:val="312" w:hRule="atLeast"/>
          <w:jc w:val="center"/>
        </w:trPr>
        <w:tc>
          <w:tcPr>
            <w:tcW w:w="1227" w:type="dxa"/>
            <w:tcBorders>
              <w:top w:val="nil"/>
              <w:left w:val="single" w:color="auto" w:sz="8" w:space="0"/>
              <w:bottom w:val="single" w:color="auto" w:sz="8" w:space="0"/>
              <w:right w:val="single" w:color="auto" w:sz="8"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0.9509 </w:t>
            </w:r>
          </w:p>
        </w:tc>
        <w:tc>
          <w:tcPr>
            <w:tcW w:w="979"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0.9593 </w:t>
            </w:r>
          </w:p>
        </w:tc>
        <w:tc>
          <w:tcPr>
            <w:tcW w:w="1010"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0.9672 </w:t>
            </w:r>
          </w:p>
        </w:tc>
        <w:tc>
          <w:tcPr>
            <w:tcW w:w="99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0.9746 </w:t>
            </w:r>
          </w:p>
        </w:tc>
        <w:tc>
          <w:tcPr>
            <w:tcW w:w="973" w:type="dxa"/>
            <w:tcBorders>
              <w:top w:val="nil"/>
              <w:left w:val="nil"/>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0.9816 </w:t>
            </w:r>
          </w:p>
        </w:tc>
        <w:tc>
          <w:tcPr>
            <w:tcW w:w="1054" w:type="dxa"/>
            <w:tcBorders>
              <w:top w:val="nil"/>
              <w:left w:val="nil"/>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0.9881 </w:t>
            </w:r>
          </w:p>
        </w:tc>
        <w:tc>
          <w:tcPr>
            <w:tcW w:w="1039" w:type="dxa"/>
            <w:tcBorders>
              <w:top w:val="nil"/>
              <w:left w:val="single" w:color="auto" w:sz="4" w:space="0"/>
              <w:bottom w:val="single" w:color="auto" w:sz="8" w:space="0"/>
              <w:right w:val="single" w:color="auto"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0.9942 </w:t>
            </w:r>
          </w:p>
        </w:tc>
        <w:tc>
          <w:tcPr>
            <w:tcW w:w="977" w:type="dxa"/>
            <w:tcBorders>
              <w:top w:val="nil"/>
              <w:left w:val="single" w:color="auto" w:sz="4" w:space="0"/>
              <w:bottom w:val="single" w:color="auto" w:sz="8" w:space="0"/>
              <w:right w:val="single" w:color="auto" w:sz="8"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r>
    </w:tbl>
    <w:p>
      <w:pPr>
        <w:pStyle w:val="16"/>
        <w:tabs>
          <w:tab w:val="left" w:pos="705"/>
        </w:tabs>
        <w:spacing w:line="360" w:lineRule="auto"/>
        <w:rPr>
          <w:rFonts w:ascii="仿宋" w:hAnsi="仿宋" w:eastAsia="仿宋" w:cs="仿宋"/>
          <w:sz w:val="28"/>
          <w:szCs w:val="28"/>
        </w:rPr>
      </w:pPr>
      <w:r>
        <w:rPr>
          <w:rFonts w:hint="eastAsia" w:ascii="仿宋" w:hAnsi="仿宋" w:eastAsia="仿宋" w:cs="仿宋"/>
          <w:b/>
          <w:bCs/>
          <w:sz w:val="24"/>
          <w:szCs w:val="24"/>
        </w:rPr>
        <w:t>表2-</w:t>
      </w:r>
      <w:r>
        <w:rPr>
          <w:rFonts w:ascii="仿宋" w:hAnsi="仿宋" w:eastAsia="仿宋" w:cs="仿宋"/>
          <w:b/>
          <w:bCs/>
          <w:sz w:val="24"/>
          <w:szCs w:val="24"/>
        </w:rPr>
        <w:t>18</w:t>
      </w:r>
      <w:r>
        <w:rPr>
          <w:rFonts w:hint="eastAsia" w:ascii="仿宋" w:hAnsi="仿宋" w:eastAsia="仿宋" w:cs="仿宋"/>
          <w:b/>
          <w:bCs/>
          <w:sz w:val="24"/>
          <w:szCs w:val="24"/>
        </w:rPr>
        <w:t xml:space="preserve">  头道桥镇住宅用地使用年期修正系数表</w:t>
      </w:r>
    </w:p>
    <w:tbl>
      <w:tblPr>
        <w:tblStyle w:val="37"/>
        <w:tblW w:w="9231" w:type="dxa"/>
        <w:jc w:val="center"/>
        <w:tblLayout w:type="fixed"/>
        <w:tblCellMar>
          <w:top w:w="0" w:type="dxa"/>
          <w:left w:w="57" w:type="dxa"/>
          <w:bottom w:w="0" w:type="dxa"/>
          <w:right w:w="57" w:type="dxa"/>
        </w:tblCellMar>
      </w:tblPr>
      <w:tblGrid>
        <w:gridCol w:w="1233"/>
        <w:gridCol w:w="1064"/>
        <w:gridCol w:w="1025"/>
        <w:gridCol w:w="993"/>
        <w:gridCol w:w="1025"/>
        <w:gridCol w:w="975"/>
        <w:gridCol w:w="971"/>
        <w:gridCol w:w="973"/>
        <w:gridCol w:w="972"/>
      </w:tblGrid>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0.0571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0.1109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0.1618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0.2098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0.2551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0.2979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0.3383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0.3764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0.4123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0.4463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0.4783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0.5086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0.5372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0.5641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0.5896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0.6136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0.6362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0.6576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0.6779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0.6969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0.7149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0.7319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0.7479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0.7631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0.7774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0.7909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0.8036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0.8156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0.8270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0.8377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0.8478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0.8573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0.8663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0.8748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0.8828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0.8904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0.8976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0.9043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0.9107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0.9167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42</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43</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44</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45</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46</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47</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48</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0.9224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0.9277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0.9328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0.9376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0.9421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0.9463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0.9503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0.9541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50</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51</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52</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53</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54</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55</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56</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0.9577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0.9611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0.9643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0.9673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0.9701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0.9728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0.9753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0.9777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58</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59</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60</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61</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62</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63</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64</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0.9800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0.9821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0.9841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0.9860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0.9878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0.9895 </w:t>
            </w:r>
          </w:p>
        </w:tc>
        <w:tc>
          <w:tcPr>
            <w:tcW w:w="97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0.9911 </w:t>
            </w:r>
          </w:p>
        </w:tc>
        <w:tc>
          <w:tcPr>
            <w:tcW w:w="972"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0.9926 </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65</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66</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67</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68</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69</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70</w:t>
            </w:r>
          </w:p>
        </w:tc>
        <w:tc>
          <w:tcPr>
            <w:tcW w:w="1945" w:type="dxa"/>
            <w:gridSpan w:val="2"/>
            <w:vMerge w:val="restart"/>
            <w:tcBorders>
              <w:top w:val="single" w:color="000000" w:sz="4" w:space="0"/>
              <w:left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ascii="仿宋" w:hAnsi="仿宋" w:eastAsia="仿宋"/>
                <w:color w:val="000000"/>
                <w:kern w:val="0"/>
                <w:sz w:val="24"/>
                <w:szCs w:val="24"/>
                <w:u w:color="000000"/>
              </w:rPr>
              <w:t>\</w:t>
            </w:r>
          </w:p>
        </w:tc>
      </w:tr>
      <w:tr>
        <w:tblPrEx>
          <w:tblCellMar>
            <w:top w:w="0" w:type="dxa"/>
            <w:left w:w="57" w:type="dxa"/>
            <w:bottom w:w="0" w:type="dxa"/>
            <w:right w:w="57" w:type="dxa"/>
          </w:tblCellMar>
        </w:tblPrEx>
        <w:trPr>
          <w:trHeight w:val="20" w:hRule="atLeast"/>
          <w:jc w:val="center"/>
        </w:trPr>
        <w:tc>
          <w:tcPr>
            <w:tcW w:w="123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1064"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0.9940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0.9953 </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0.9966 </w:t>
            </w:r>
          </w:p>
        </w:tc>
        <w:tc>
          <w:tcPr>
            <w:tcW w:w="102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0.9978 </w:t>
            </w:r>
          </w:p>
        </w:tc>
        <w:tc>
          <w:tcPr>
            <w:tcW w:w="975"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0.9989 </w:t>
            </w:r>
          </w:p>
        </w:tc>
        <w:tc>
          <w:tcPr>
            <w:tcW w:w="971"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c>
          <w:tcPr>
            <w:tcW w:w="1945" w:type="dxa"/>
            <w:gridSpan w:val="2"/>
            <w:vMerge w:val="continue"/>
            <w:tcBorders>
              <w:left w:val="single" w:color="000000" w:sz="4" w:space="0"/>
              <w:bottom w:val="single" w:color="000000" w:sz="4" w:space="0"/>
              <w:right w:val="single" w:color="000000" w:sz="4" w:space="0"/>
            </w:tcBorders>
            <w:vAlign w:val="center"/>
          </w:tcPr>
          <w:p>
            <w:pPr>
              <w:spacing w:line="276" w:lineRule="auto"/>
              <w:ind w:firstLine="0" w:firstLineChars="0"/>
              <w:jc w:val="center"/>
              <w:rPr>
                <w:rFonts w:ascii="仿宋" w:hAnsi="仿宋" w:eastAsia="仿宋"/>
                <w:color w:val="000000"/>
                <w:kern w:val="0"/>
                <w:sz w:val="24"/>
                <w:szCs w:val="24"/>
                <w:u w:color="000000"/>
              </w:rPr>
            </w:pPr>
          </w:p>
        </w:tc>
      </w:tr>
    </w:tbl>
    <w:p>
      <w:pPr>
        <w:pStyle w:val="16"/>
        <w:tabs>
          <w:tab w:val="left" w:pos="705"/>
        </w:tabs>
        <w:spacing w:line="360" w:lineRule="auto"/>
      </w:pPr>
      <w:r>
        <w:rPr>
          <w:rFonts w:hint="eastAsia" w:ascii="仿宋" w:hAnsi="仿宋" w:eastAsia="仿宋" w:cs="仿宋"/>
          <w:b/>
          <w:bCs/>
          <w:sz w:val="24"/>
          <w:szCs w:val="24"/>
        </w:rPr>
        <w:t>表2-</w:t>
      </w:r>
      <w:r>
        <w:rPr>
          <w:rFonts w:ascii="仿宋" w:hAnsi="仿宋" w:eastAsia="仿宋" w:cs="仿宋"/>
          <w:b/>
          <w:bCs/>
          <w:sz w:val="24"/>
          <w:szCs w:val="24"/>
        </w:rPr>
        <w:t>19</w:t>
      </w:r>
      <w:r>
        <w:rPr>
          <w:rFonts w:hint="eastAsia" w:ascii="仿宋" w:hAnsi="仿宋" w:eastAsia="仿宋" w:cs="仿宋"/>
          <w:b/>
          <w:bCs/>
          <w:sz w:val="24"/>
          <w:szCs w:val="24"/>
        </w:rPr>
        <w:t xml:space="preserve">  头道桥镇工业用地使用年期修正系数表</w:t>
      </w:r>
    </w:p>
    <w:tbl>
      <w:tblPr>
        <w:tblStyle w:val="37"/>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1130"/>
        <w:gridCol w:w="988"/>
        <w:gridCol w:w="988"/>
        <w:gridCol w:w="989"/>
        <w:gridCol w:w="990"/>
        <w:gridCol w:w="990"/>
        <w:gridCol w:w="99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kern w:val="0"/>
                <w:sz w:val="24"/>
                <w:szCs w:val="24"/>
                <w:u w:color="000000"/>
              </w:rPr>
            </w:pPr>
            <w:r>
              <w:rPr>
                <w:rFonts w:hint="eastAsia" w:eastAsia="仿宋"/>
                <w:color w:val="000000"/>
                <w:kern w:val="0"/>
                <w:sz w:val="24"/>
                <w:szCs w:val="24"/>
                <w:u w:color="000000"/>
              </w:rPr>
              <w:t>1</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0.0525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0.1024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0.1500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0.1953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0.2384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0.2794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0.3185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0.3556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9</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10</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12</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0.3911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0.4248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0.4569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0.4874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0.5165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0.5442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0.5705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0.5956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17</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18</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19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20</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22</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0.6195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0.6423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0.6639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0.6845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0.7042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0.7228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0.7406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0.7576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25</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26</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28</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29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30</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31</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0.7737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0.7890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0.8037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0.8176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0.8308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0.8434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0.8554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0.8668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33</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34</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38</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39</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0.8777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0.8881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0.8979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0.9073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0.9163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0.9248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0.9329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41</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42</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43</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44</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45</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46</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47</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0.9479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0.9549 </w:t>
            </w:r>
          </w:p>
        </w:tc>
        <w:tc>
          <w:tcPr>
            <w:tcW w:w="989"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0.9616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0.9679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0.9739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0.9797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0.9851 </w:t>
            </w:r>
          </w:p>
        </w:tc>
        <w:tc>
          <w:tcPr>
            <w:tcW w:w="990"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使用年期</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49</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50</w:t>
            </w:r>
          </w:p>
        </w:tc>
        <w:tc>
          <w:tcPr>
            <w:tcW w:w="5939" w:type="dxa"/>
            <w:gridSpan w:val="6"/>
            <w:vMerge w:val="restart"/>
            <w:vAlign w:val="center"/>
          </w:tcPr>
          <w:p>
            <w:pPr>
              <w:spacing w:line="276" w:lineRule="auto"/>
              <w:ind w:firstLine="0" w:firstLineChars="0"/>
              <w:jc w:val="center"/>
              <w:rPr>
                <w:rFonts w:ascii="仿宋" w:hAnsi="仿宋" w:eastAsia="仿宋"/>
                <w:color w:val="000000"/>
                <w:kern w:val="0"/>
                <w:sz w:val="24"/>
                <w:szCs w:val="24"/>
                <w:u w:color="000000"/>
              </w:rPr>
            </w:pPr>
            <w:r>
              <w:rPr>
                <w:rFonts w:ascii="仿宋" w:hAnsi="仿宋" w:eastAsia="仿宋"/>
                <w:color w:val="000000"/>
                <w:kern w:val="0"/>
                <w:sz w:val="24"/>
                <w:szCs w:val="24"/>
                <w:u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27" w:hRule="atLeast"/>
          <w:jc w:val="center"/>
        </w:trPr>
        <w:tc>
          <w:tcPr>
            <w:tcW w:w="1130" w:type="dxa"/>
            <w:vAlign w:val="center"/>
          </w:tcPr>
          <w:p>
            <w:pPr>
              <w:spacing w:line="276" w:lineRule="auto"/>
              <w:ind w:firstLine="0" w:firstLineChars="0"/>
              <w:jc w:val="center"/>
              <w:rPr>
                <w:rFonts w:ascii="仿宋" w:hAnsi="仿宋" w:eastAsia="仿宋" w:cs="仿宋"/>
                <w:color w:val="000000"/>
                <w:kern w:val="28"/>
                <w:sz w:val="24"/>
                <w:szCs w:val="24"/>
                <w:u w:color="000000"/>
              </w:rPr>
            </w:pPr>
            <w:r>
              <w:rPr>
                <w:rFonts w:hint="eastAsia" w:ascii="仿宋" w:hAnsi="仿宋" w:eastAsia="仿宋" w:cs="仿宋"/>
                <w:color w:val="000000"/>
                <w:kern w:val="28"/>
                <w:sz w:val="24"/>
                <w:szCs w:val="24"/>
                <w:u w:color="000000"/>
              </w:rPr>
              <w:t>修正系数</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0.9953 </w:t>
            </w:r>
          </w:p>
        </w:tc>
        <w:tc>
          <w:tcPr>
            <w:tcW w:w="988" w:type="dxa"/>
            <w:vAlign w:val="center"/>
          </w:tcPr>
          <w:p>
            <w:pPr>
              <w:spacing w:line="276" w:lineRule="auto"/>
              <w:ind w:firstLine="0" w:firstLineChars="0"/>
              <w:jc w:val="center"/>
              <w:rPr>
                <w:rFonts w:ascii="仿宋" w:hAnsi="仿宋" w:eastAsia="仿宋"/>
                <w:color w:val="000000"/>
                <w:kern w:val="0"/>
                <w:sz w:val="24"/>
                <w:szCs w:val="24"/>
                <w:u w:color="000000"/>
              </w:rPr>
            </w:pPr>
            <w:r>
              <w:rPr>
                <w:rFonts w:hint="eastAsia" w:eastAsia="仿宋"/>
                <w:color w:val="000000"/>
                <w:kern w:val="0"/>
                <w:sz w:val="24"/>
                <w:szCs w:val="24"/>
                <w:u w:color="000000"/>
              </w:rPr>
              <w:t xml:space="preserve">1.0000 </w:t>
            </w:r>
          </w:p>
        </w:tc>
        <w:tc>
          <w:tcPr>
            <w:tcW w:w="5939" w:type="dxa"/>
            <w:gridSpan w:val="6"/>
            <w:vMerge w:val="continue"/>
            <w:vAlign w:val="center"/>
          </w:tcPr>
          <w:p>
            <w:pPr>
              <w:spacing w:line="276" w:lineRule="auto"/>
              <w:ind w:firstLine="0" w:firstLineChars="0"/>
              <w:jc w:val="center"/>
              <w:rPr>
                <w:rFonts w:ascii="仿宋" w:hAnsi="仿宋" w:eastAsia="仿宋"/>
                <w:color w:val="000000"/>
                <w:kern w:val="0"/>
                <w:sz w:val="24"/>
                <w:szCs w:val="24"/>
                <w:u w:color="000000"/>
              </w:rPr>
            </w:pPr>
          </w:p>
        </w:tc>
      </w:tr>
    </w:tbl>
    <w:p>
      <w:pPr>
        <w:autoSpaceDN w:val="0"/>
        <w:snapToGrid w:val="0"/>
        <w:ind w:firstLine="560"/>
        <w:jc w:val="both"/>
        <w:rPr>
          <w:rFonts w:ascii="仿宋" w:hAnsi="仿宋" w:eastAsia="仿宋" w:cs="仿宋"/>
          <w:szCs w:val="28"/>
        </w:rPr>
      </w:pPr>
      <w:r>
        <w:rPr>
          <w:rFonts w:hint="eastAsia" w:ascii="仿宋" w:hAnsi="仿宋" w:eastAsia="仿宋" w:cs="仿宋"/>
          <w:szCs w:val="28"/>
        </w:rPr>
        <w:t>（3）土地使用年期修正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——修正到宗地实际使用年期的宗地地价；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——标准土地使用年期的基准地价；</w:t>
      </w:r>
    </w:p>
    <w:p>
      <w:pPr>
        <w:ind w:firstLine="1400" w:firstLineChars="500"/>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——土地使用年期修正系数。</w:t>
      </w:r>
    </w:p>
    <w:p>
      <w:pPr>
        <w:keepNext/>
        <w:tabs>
          <w:tab w:val="left" w:pos="1320"/>
        </w:tabs>
        <w:autoSpaceDN w:val="0"/>
        <w:snapToGrid w:val="0"/>
        <w:ind w:firstLine="562"/>
        <w:jc w:val="both"/>
        <w:outlineLvl w:val="2"/>
        <w:rPr>
          <w:rFonts w:ascii="仿宋_GB2312" w:hAnsi="宋体"/>
          <w:b/>
        </w:rPr>
      </w:pPr>
      <w:bookmarkStart w:id="27" w:name="_Toc438149413"/>
      <w:bookmarkStart w:id="28" w:name="_Toc438149095"/>
      <w:r>
        <w:rPr>
          <w:rFonts w:hint="eastAsia" w:ascii="仿宋" w:hAnsi="仿宋" w:eastAsia="仿宋" w:cs="仿宋"/>
          <w:b/>
          <w:szCs w:val="28"/>
        </w:rPr>
        <w:t>2、</w:t>
      </w:r>
      <w:r>
        <w:rPr>
          <w:rFonts w:ascii="仿宋" w:hAnsi="仿宋" w:eastAsia="仿宋" w:cs="仿宋"/>
          <w:b/>
          <w:szCs w:val="28"/>
        </w:rPr>
        <w:t>容积率</w:t>
      </w:r>
      <w:bookmarkEnd w:id="27"/>
      <w:bookmarkEnd w:id="28"/>
    </w:p>
    <w:p>
      <w:pPr>
        <w:autoSpaceDN w:val="0"/>
        <w:snapToGrid w:val="0"/>
        <w:ind w:firstLine="560"/>
        <w:jc w:val="both"/>
        <w:rPr>
          <w:rFonts w:ascii="仿宋" w:hAnsi="仿宋" w:eastAsia="仿宋" w:cs="仿宋"/>
          <w:szCs w:val="28"/>
        </w:rPr>
      </w:pPr>
      <w:bookmarkStart w:id="29" w:name="_Toc438149096"/>
      <w:bookmarkStart w:id="30" w:name="_Toc438149414"/>
      <w:r>
        <w:rPr>
          <w:rFonts w:hint="eastAsia" w:ascii="仿宋" w:hAnsi="仿宋" w:eastAsia="仿宋" w:cs="仿宋"/>
          <w:szCs w:val="28"/>
        </w:rPr>
        <w:t>（1）容积率修正系数</w:t>
      </w:r>
    </w:p>
    <w:p>
      <w:pPr>
        <w:keepNext/>
        <w:tabs>
          <w:tab w:val="left" w:pos="1320"/>
        </w:tabs>
        <w:autoSpaceDN w:val="0"/>
        <w:snapToGrid w:val="0"/>
        <w:ind w:firstLine="560"/>
        <w:jc w:val="both"/>
        <w:rPr>
          <w:rFonts w:ascii="仿宋" w:hAnsi="仿宋" w:eastAsia="仿宋" w:cs="仿宋"/>
          <w:szCs w:val="28"/>
        </w:rPr>
      </w:pPr>
      <w:r>
        <w:rPr>
          <w:rFonts w:hint="eastAsia" w:ascii="仿宋" w:hAnsi="仿宋" w:eastAsia="仿宋" w:cs="仿宋"/>
          <w:szCs w:val="28"/>
        </w:rPr>
        <w:t>商服、住宅用地结合前面利用样点地价评估基准地价的样点容积率修正体系。根据头道桥镇的实际情况，我们以</w:t>
      </w:r>
      <w:r>
        <w:rPr>
          <w:rFonts w:ascii="仿宋" w:hAnsi="仿宋" w:eastAsia="仿宋" w:cs="仿宋"/>
          <w:szCs w:val="28"/>
        </w:rPr>
        <w:t>1.2</w:t>
      </w:r>
      <w:r>
        <w:rPr>
          <w:rFonts w:hint="eastAsia" w:ascii="仿宋" w:hAnsi="仿宋" w:eastAsia="仿宋" w:cs="仿宋"/>
          <w:szCs w:val="28"/>
        </w:rPr>
        <w:t>作为本次商服用地基准地价的平均容积率水平，</w:t>
      </w:r>
      <w:r>
        <w:rPr>
          <w:rFonts w:ascii="仿宋" w:hAnsi="仿宋" w:eastAsia="仿宋" w:cs="仿宋"/>
          <w:szCs w:val="28"/>
        </w:rPr>
        <w:t>1.0</w:t>
      </w:r>
      <w:r>
        <w:rPr>
          <w:rFonts w:hint="eastAsia" w:ascii="仿宋" w:hAnsi="仿宋" w:eastAsia="仿宋" w:cs="仿宋"/>
          <w:szCs w:val="28"/>
        </w:rPr>
        <w:t>作为住宅用地基准地价的平均容积率水平，0.</w:t>
      </w:r>
      <w:r>
        <w:rPr>
          <w:rFonts w:ascii="仿宋" w:hAnsi="仿宋" w:eastAsia="仿宋" w:cs="仿宋"/>
          <w:szCs w:val="28"/>
        </w:rPr>
        <w:t>6</w:t>
      </w:r>
      <w:r>
        <w:rPr>
          <w:rFonts w:hint="eastAsia" w:ascii="仿宋" w:hAnsi="仿宋" w:eastAsia="仿宋" w:cs="仿宋"/>
          <w:szCs w:val="28"/>
        </w:rPr>
        <w:t>作为工业用地基准地价的平均容积率水平。工业用地根据国土资发[2008]24号《关于发布和实施&lt;工业建设用地控制指标&gt;的通知》“各级国土资源管理部门要严格执行《控制指标》与相关工程项目建设用地指标。不符合《控制指标》要求的工业项目，不予供地或对项目用地面积予以核减。”以及国发〔2008〕3号《国务院关于促进节约集约用地的通知》，“对现有工业用地，在符合规划、不改变用途的前提下，提高土地利用率和增加容积率的，不再增收土地价款；对新增工业用地，要进一步提高工业用地控制指标，厂房建筑面积高于容积率控制指标的部分，不再增收土地价款。因此，本次评估工业用地容积率水平我们按照头道桥镇工业用地的最低容积率控制指标设定为0.</w:t>
      </w:r>
      <w:r>
        <w:rPr>
          <w:rFonts w:ascii="仿宋" w:hAnsi="仿宋" w:eastAsia="仿宋" w:cs="仿宋"/>
          <w:szCs w:val="28"/>
        </w:rPr>
        <w:t>6</w:t>
      </w:r>
      <w:r>
        <w:rPr>
          <w:rFonts w:hint="eastAsia" w:ascii="仿宋" w:hAnsi="仿宋" w:eastAsia="仿宋" w:cs="仿宋"/>
          <w:szCs w:val="28"/>
        </w:rPr>
        <w:t>。工业用地容积率只确定最低容积率控制指标值，而高于控制指标部分不做容积率修正。因此，本次容积率修正主要针对商服用地、住宅用地（非别墅用地）。</w:t>
      </w:r>
    </w:p>
    <w:p>
      <w:pPr>
        <w:autoSpaceDN w:val="0"/>
        <w:snapToGrid w:val="0"/>
        <w:ind w:firstLine="560"/>
        <w:jc w:val="both"/>
        <w:rPr>
          <w:rFonts w:ascii="仿宋" w:hAnsi="仿宋" w:eastAsia="仿宋" w:cs="仿宋"/>
          <w:szCs w:val="28"/>
        </w:rPr>
      </w:pPr>
      <w:r>
        <w:rPr>
          <w:rFonts w:hint="eastAsia" w:ascii="仿宋" w:hAnsi="仿宋" w:eastAsia="仿宋" w:cs="仿宋"/>
          <w:szCs w:val="28"/>
        </w:rPr>
        <w:t>（2）容积率修正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运用下述公式进行修正：</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——修正到宗地实际容积率水平时的地价；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——标准容积率下的基准地价；</w:t>
      </w:r>
    </w:p>
    <w:p>
      <w:pPr>
        <w:autoSpaceDN w:val="0"/>
        <w:snapToGrid w:val="0"/>
        <w:ind w:firstLine="1400" w:firstLineChars="500"/>
        <w:jc w:val="both"/>
        <w:rPr>
          <w:rFonts w:ascii="仿宋" w:hAnsi="仿宋" w:eastAsia="仿宋" w:cs="仿宋"/>
          <w:b/>
          <w:bCs/>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——容积率修正系数。</w:t>
      </w:r>
    </w:p>
    <w:p>
      <w:pPr>
        <w:autoSpaceDN w:val="0"/>
        <w:snapToGrid w:val="0"/>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w:t>
      </w:r>
      <w:r>
        <w:rPr>
          <w:rFonts w:ascii="仿宋" w:hAnsi="仿宋" w:eastAsia="仿宋" w:cs="仿宋"/>
          <w:b/>
          <w:bCs/>
          <w:sz w:val="24"/>
          <w:szCs w:val="24"/>
        </w:rPr>
        <w:t>20</w:t>
      </w:r>
      <w:r>
        <w:rPr>
          <w:rFonts w:hint="eastAsia" w:ascii="仿宋" w:hAnsi="仿宋" w:eastAsia="仿宋" w:cs="仿宋"/>
          <w:b/>
          <w:bCs/>
          <w:sz w:val="24"/>
          <w:szCs w:val="24"/>
        </w:rPr>
        <w:t xml:space="preserve">  头道桥镇商服用地宗地容积率修正系数表</w:t>
      </w:r>
    </w:p>
    <w:tbl>
      <w:tblPr>
        <w:tblStyle w:val="37"/>
        <w:tblW w:w="8640" w:type="dxa"/>
        <w:tblInd w:w="-5" w:type="dxa"/>
        <w:tblLayout w:type="autofit"/>
        <w:tblCellMar>
          <w:top w:w="0" w:type="dxa"/>
          <w:left w:w="108" w:type="dxa"/>
          <w:bottom w:w="0" w:type="dxa"/>
          <w:right w:w="108" w:type="dxa"/>
        </w:tblCellMar>
      </w:tblPr>
      <w:tblGrid>
        <w:gridCol w:w="1250"/>
        <w:gridCol w:w="1055"/>
        <w:gridCol w:w="1056"/>
        <w:gridCol w:w="1056"/>
        <w:gridCol w:w="1055"/>
        <w:gridCol w:w="1056"/>
        <w:gridCol w:w="1056"/>
        <w:gridCol w:w="1056"/>
      </w:tblGrid>
      <w:tr>
        <w:tblPrEx>
          <w:tblCellMar>
            <w:top w:w="0" w:type="dxa"/>
            <w:left w:w="108" w:type="dxa"/>
            <w:bottom w:w="0" w:type="dxa"/>
            <w:right w:w="108" w:type="dxa"/>
          </w:tblCellMar>
        </w:tblPrEx>
        <w:trPr>
          <w:trHeight w:val="285" w:hRule="atLeast"/>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≤0.5</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0.6</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0.7</w:t>
            </w:r>
          </w:p>
        </w:tc>
        <w:tc>
          <w:tcPr>
            <w:tcW w:w="105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0.8</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0.9</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w:t>
            </w:r>
          </w:p>
        </w:tc>
        <w:tc>
          <w:tcPr>
            <w:tcW w:w="10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1.1</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0.7379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0.7704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0.8087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0.8443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0.8828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0.9201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0.9786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1.3</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1.4</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1.5</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1.6</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1.7</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1.8</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1.0000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1.0437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1.0900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1.1282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1.1741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1.2291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1.2593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1.9</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2.1</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2.2</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2.3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≥2.4</w:t>
            </w:r>
          </w:p>
        </w:tc>
        <w:tc>
          <w:tcPr>
            <w:tcW w:w="1056" w:type="dxa"/>
            <w:vMerge w:val="restart"/>
            <w:tcBorders>
              <w:top w:val="nil"/>
              <w:left w:val="nil"/>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p>
            <w:pPr>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tc>
      </w:tr>
      <w:tr>
        <w:tblPrEx>
          <w:tblCellMar>
            <w:top w:w="0" w:type="dxa"/>
            <w:left w:w="108" w:type="dxa"/>
            <w:bottom w:w="0" w:type="dxa"/>
            <w:right w:w="108" w:type="dxa"/>
          </w:tblCellMar>
        </w:tblPrEx>
        <w:trPr>
          <w:trHeight w:val="285" w:hRule="atLeast"/>
        </w:trPr>
        <w:tc>
          <w:tcPr>
            <w:tcW w:w="12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1.3098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1.3572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1.4092 </w:t>
            </w:r>
          </w:p>
        </w:tc>
        <w:tc>
          <w:tcPr>
            <w:tcW w:w="105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1.4582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1.5168 </w:t>
            </w:r>
          </w:p>
        </w:tc>
        <w:tc>
          <w:tcPr>
            <w:tcW w:w="105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1.5926 </w:t>
            </w:r>
          </w:p>
        </w:tc>
        <w:tc>
          <w:tcPr>
            <w:tcW w:w="1056" w:type="dxa"/>
            <w:vMerge w:val="continue"/>
            <w:tcBorders>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p>
        </w:tc>
      </w:tr>
    </w:tbl>
    <w:p>
      <w:pPr>
        <w:ind w:firstLine="0" w:firstLineChars="0"/>
        <w:jc w:val="center"/>
        <w:rPr>
          <w:rFonts w:ascii="仿宋" w:hAnsi="仿宋" w:eastAsia="仿宋" w:cs="仿宋"/>
          <w:b/>
          <w:bCs/>
          <w:sz w:val="24"/>
          <w:szCs w:val="24"/>
        </w:rPr>
      </w:pPr>
      <w:r>
        <w:rPr>
          <w:rFonts w:hint="eastAsia" w:ascii="仿宋" w:hAnsi="仿宋" w:eastAsia="仿宋" w:cs="仿宋"/>
          <w:b/>
          <w:bCs/>
          <w:sz w:val="24"/>
          <w:szCs w:val="24"/>
        </w:rPr>
        <w:t>表2-</w:t>
      </w:r>
      <w:r>
        <w:rPr>
          <w:rFonts w:ascii="仿宋" w:hAnsi="仿宋" w:eastAsia="仿宋" w:cs="仿宋"/>
          <w:b/>
          <w:bCs/>
          <w:sz w:val="24"/>
          <w:szCs w:val="24"/>
        </w:rPr>
        <w:t>21</w:t>
      </w:r>
      <w:r>
        <w:rPr>
          <w:rFonts w:hint="eastAsia" w:ascii="仿宋" w:hAnsi="仿宋" w:eastAsia="仿宋" w:cs="仿宋"/>
          <w:b/>
          <w:bCs/>
          <w:sz w:val="24"/>
          <w:szCs w:val="24"/>
        </w:rPr>
        <w:t xml:space="preserve">  头道桥镇住宅用地宗地容积率修正系数表</w:t>
      </w:r>
    </w:p>
    <w:tbl>
      <w:tblPr>
        <w:tblStyle w:val="37"/>
        <w:tblW w:w="8640" w:type="dxa"/>
        <w:tblInd w:w="-5" w:type="dxa"/>
        <w:tblLayout w:type="autofit"/>
        <w:tblCellMar>
          <w:top w:w="0" w:type="dxa"/>
          <w:left w:w="108" w:type="dxa"/>
          <w:bottom w:w="0" w:type="dxa"/>
          <w:right w:w="108" w:type="dxa"/>
        </w:tblCellMar>
      </w:tblPr>
      <w:tblGrid>
        <w:gridCol w:w="1276"/>
        <w:gridCol w:w="884"/>
        <w:gridCol w:w="1080"/>
        <w:gridCol w:w="1080"/>
        <w:gridCol w:w="1080"/>
        <w:gridCol w:w="1080"/>
        <w:gridCol w:w="1080"/>
        <w:gridCol w:w="1080"/>
      </w:tblGrid>
      <w:tr>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0.6</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0.7</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0.8</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0.9</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1.1</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0.8754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0.9068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0.9376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0.9622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0.9878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1.0000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1.0354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1.2</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1.3</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1.4</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1.5</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1.6</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1.7</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1.8</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1.0838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1.1266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1.2098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1.2541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1.3184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1.3837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1.4579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容积率</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1.9</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≥2</w:t>
            </w:r>
          </w:p>
        </w:tc>
        <w:tc>
          <w:tcPr>
            <w:tcW w:w="5400" w:type="dxa"/>
            <w:gridSpan w:val="5"/>
            <w:vMerge w:val="restart"/>
            <w:tcBorders>
              <w:top w:val="nil"/>
              <w:left w:val="nil"/>
              <w:right w:val="single" w:color="auto" w:sz="4" w:space="0"/>
            </w:tcBorders>
            <w:shd w:val="clear" w:color="auto" w:fill="auto"/>
            <w:noWrap/>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w:t>
            </w:r>
          </w:p>
          <w:p>
            <w:pPr>
              <w:spacing w:line="240" w:lineRule="auto"/>
              <w:ind w:firstLine="0" w:firstLineChars="0"/>
              <w:rPr>
                <w:rFonts w:eastAsia="宋体"/>
                <w:color w:val="000000"/>
                <w:kern w:val="0"/>
                <w:sz w:val="24"/>
                <w:szCs w:val="24"/>
                <w:u w:color="000000"/>
              </w:rPr>
            </w:pPr>
            <w:r>
              <w:rPr>
                <w:rFonts w:eastAsia="宋体"/>
                <w:color w:val="000000"/>
                <w:kern w:val="0"/>
                <w:sz w:val="24"/>
                <w:szCs w:val="24"/>
                <w:u w:color="000000"/>
              </w:rPr>
              <w:t>　</w:t>
            </w:r>
          </w:p>
        </w:tc>
      </w:tr>
      <w:tr>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 w:hAnsi="仿宋" w:eastAsia="仿宋" w:cs="宋体"/>
                <w:color w:val="000000"/>
                <w:kern w:val="0"/>
                <w:sz w:val="24"/>
                <w:szCs w:val="24"/>
                <w:u w:color="000000"/>
              </w:rPr>
            </w:pPr>
            <w:r>
              <w:rPr>
                <w:rFonts w:hint="eastAsia" w:ascii="仿宋" w:hAnsi="仿宋" w:eastAsia="仿宋" w:cs="宋体"/>
                <w:color w:val="000000"/>
                <w:kern w:val="0"/>
                <w:sz w:val="24"/>
                <w:szCs w:val="24"/>
                <w:u w:color="000000"/>
              </w:rPr>
              <w:t>修正系数</w:t>
            </w:r>
          </w:p>
        </w:tc>
        <w:tc>
          <w:tcPr>
            <w:tcW w:w="88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1.5521 </w:t>
            </w:r>
          </w:p>
        </w:tc>
        <w:tc>
          <w:tcPr>
            <w:tcW w:w="108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olor w:val="000000"/>
                <w:kern w:val="0"/>
                <w:sz w:val="24"/>
                <w:szCs w:val="24"/>
                <w:u w:color="000000"/>
              </w:rPr>
            </w:pPr>
            <w:r>
              <w:rPr>
                <w:rFonts w:eastAsia="宋体"/>
                <w:color w:val="000000"/>
                <w:kern w:val="0"/>
                <w:sz w:val="24"/>
                <w:szCs w:val="24"/>
                <w:u w:color="000000"/>
              </w:rPr>
              <w:t xml:space="preserve">1.6480 </w:t>
            </w:r>
          </w:p>
        </w:tc>
        <w:tc>
          <w:tcPr>
            <w:tcW w:w="5400" w:type="dxa"/>
            <w:gridSpan w:val="5"/>
            <w:vMerge w:val="continue"/>
            <w:tcBorders>
              <w:left w:val="nil"/>
              <w:bottom w:val="single" w:color="auto" w:sz="4" w:space="0"/>
              <w:right w:val="single" w:color="auto" w:sz="4" w:space="0"/>
            </w:tcBorders>
            <w:shd w:val="clear" w:color="auto" w:fill="auto"/>
            <w:noWrap/>
            <w:vAlign w:val="bottom"/>
          </w:tcPr>
          <w:p>
            <w:pPr>
              <w:widowControl/>
              <w:spacing w:line="240" w:lineRule="auto"/>
              <w:ind w:firstLine="0" w:firstLineChars="0"/>
              <w:rPr>
                <w:rFonts w:eastAsia="宋体"/>
                <w:color w:val="000000"/>
                <w:kern w:val="0"/>
                <w:sz w:val="24"/>
                <w:szCs w:val="24"/>
                <w:u w:color="000000"/>
              </w:rPr>
            </w:pPr>
          </w:p>
        </w:tc>
      </w:tr>
    </w:tbl>
    <w:p>
      <w:pPr>
        <w:keepNext/>
        <w:tabs>
          <w:tab w:val="left" w:pos="1320"/>
        </w:tabs>
        <w:autoSpaceDN w:val="0"/>
        <w:snapToGrid w:val="0"/>
        <w:ind w:firstLine="562"/>
        <w:jc w:val="both"/>
        <w:outlineLvl w:val="2"/>
        <w:rPr>
          <w:rFonts w:ascii="宋体" w:hAnsi="宋体" w:eastAsia="宋体"/>
          <w:b/>
        </w:rPr>
      </w:pPr>
      <w:r>
        <w:rPr>
          <w:rFonts w:hint="eastAsia" w:ascii="仿宋" w:hAnsi="仿宋" w:eastAsia="仿宋" w:cs="仿宋"/>
          <w:b/>
          <w:szCs w:val="28"/>
        </w:rPr>
        <w:t>3、</w:t>
      </w:r>
      <w:r>
        <w:rPr>
          <w:rFonts w:ascii="仿宋" w:hAnsi="仿宋" w:eastAsia="仿宋" w:cs="仿宋"/>
          <w:b/>
          <w:szCs w:val="28"/>
        </w:rPr>
        <w:t>开发程度修正</w:t>
      </w:r>
      <w:bookmarkEnd w:id="29"/>
      <w:bookmarkEnd w:id="30"/>
    </w:p>
    <w:p>
      <w:pPr>
        <w:autoSpaceDN w:val="0"/>
        <w:snapToGrid w:val="0"/>
        <w:ind w:firstLine="560"/>
        <w:jc w:val="both"/>
        <w:rPr>
          <w:rFonts w:ascii="仿宋" w:hAnsi="仿宋" w:eastAsia="仿宋" w:cs="仿宋"/>
          <w:szCs w:val="28"/>
        </w:rPr>
      </w:pPr>
      <w:r>
        <w:rPr>
          <w:rFonts w:hint="eastAsia" w:ascii="仿宋" w:hAnsi="仿宋" w:eastAsia="仿宋" w:cs="仿宋"/>
          <w:szCs w:val="28"/>
        </w:rPr>
        <w:t>（1）宗地外开发程度修正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如前基准地价定义所述，头道桥镇商服、住宅、工业以及公共服务用地对外开发程度为“五通”，在开发费用中，各项开发的费用不同，配置不同，开发费用也会发生变化。</w:t>
      </w:r>
    </w:p>
    <w:p>
      <w:pPr>
        <w:autoSpaceDN w:val="0"/>
        <w:snapToGrid w:val="0"/>
        <w:ind w:firstLine="560"/>
        <w:jc w:val="both"/>
        <w:rPr>
          <w:rFonts w:ascii="仿宋" w:hAnsi="仿宋" w:eastAsia="仿宋" w:cs="仿宋"/>
          <w:szCs w:val="28"/>
        </w:rPr>
      </w:pPr>
      <w:r>
        <w:rPr>
          <w:rFonts w:hint="eastAsia" w:ascii="仿宋" w:hAnsi="仿宋" w:eastAsia="仿宋" w:cs="仿宋"/>
          <w:szCs w:val="28"/>
        </w:rPr>
        <w:t>已达到基准地价设定开发程度的样点修正值为零，未到基准地价设定开发程度的样点需进行相应修正(其修正值详见表2-24)。其计算公式为：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r</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K</w:t>
      </w:r>
      <w:r>
        <w:rPr>
          <w:rFonts w:hint="eastAsia" w:ascii="仿宋" w:hAnsi="仿宋" w:eastAsia="仿宋" w:cs="仿宋"/>
          <w:szCs w:val="28"/>
          <w:vertAlign w:val="subscript"/>
        </w:rPr>
        <w:t>r</w:t>
      </w:r>
      <w:r>
        <w:rPr>
          <w:rFonts w:hint="eastAsia" w:ascii="仿宋" w:hAnsi="仿宋" w:eastAsia="仿宋" w:cs="仿宋"/>
          <w:szCs w:val="28"/>
        </w:rPr>
        <w:t>——开发状况修正值。</w:t>
      </w:r>
    </w:p>
    <w:p>
      <w:pPr>
        <w:autoSpaceDN w:val="0"/>
        <w:snapToGrid w:val="0"/>
        <w:ind w:firstLine="560"/>
        <w:jc w:val="both"/>
        <w:rPr>
          <w:rFonts w:ascii="仿宋" w:hAnsi="仿宋" w:eastAsia="仿宋" w:cs="仿宋"/>
          <w:szCs w:val="28"/>
        </w:rPr>
      </w:pPr>
      <w:r>
        <w:rPr>
          <w:rFonts w:hint="eastAsia" w:ascii="仿宋" w:hAnsi="仿宋" w:eastAsia="仿宋" w:cs="仿宋"/>
          <w:szCs w:val="28"/>
        </w:rPr>
        <w:t>（2）宗地内开发程度修正</w:t>
      </w:r>
    </w:p>
    <w:p>
      <w:pPr>
        <w:autoSpaceDN w:val="0"/>
        <w:snapToGrid w:val="0"/>
        <w:ind w:firstLine="560"/>
        <w:jc w:val="both"/>
        <w:rPr>
          <w:rFonts w:ascii="仿宋" w:hAnsi="仿宋" w:eastAsia="仿宋" w:cs="仿宋"/>
          <w:szCs w:val="28"/>
        </w:rPr>
      </w:pPr>
      <w:r>
        <w:rPr>
          <w:rFonts w:hint="eastAsia" w:ascii="仿宋" w:hAnsi="仿宋" w:eastAsia="仿宋" w:cs="仿宋"/>
          <w:szCs w:val="28"/>
        </w:rPr>
        <w:t>头道桥镇各类用地宗地内开发程度为“场平”，已达到基准地价设定条件的修正值为零，未达到“场平”的，要进行宗地内开发程度修正(其修正值详见表2-</w:t>
      </w:r>
      <w:r>
        <w:rPr>
          <w:rFonts w:ascii="仿宋" w:hAnsi="仿宋" w:eastAsia="仿宋" w:cs="仿宋"/>
          <w:szCs w:val="28"/>
        </w:rPr>
        <w:t>22</w:t>
      </w:r>
      <w:r>
        <w:rPr>
          <w:rFonts w:hint="eastAsia" w:ascii="仿宋" w:hAnsi="仿宋" w:eastAsia="仿宋" w:cs="仿宋"/>
          <w:szCs w:val="28"/>
        </w:rPr>
        <w:t>)。其计算公式为：</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ls</w:t>
      </w: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±K</w:t>
      </w:r>
      <w:r>
        <w:rPr>
          <w:rFonts w:hint="eastAsia" w:ascii="仿宋" w:hAnsi="仿宋" w:eastAsia="仿宋" w:cs="仿宋"/>
          <w:szCs w:val="28"/>
          <w:vertAlign w:val="subscript"/>
        </w:rPr>
        <w:t>i</w:t>
      </w:r>
    </w:p>
    <w:p>
      <w:pPr>
        <w:autoSpaceDN w:val="0"/>
        <w:snapToGrid w:val="0"/>
        <w:ind w:firstLine="560"/>
        <w:jc w:val="both"/>
        <w:rPr>
          <w:rFonts w:ascii="仿宋" w:hAnsi="仿宋" w:eastAsia="仿宋" w:cs="仿宋"/>
          <w:szCs w:val="28"/>
        </w:rPr>
      </w:pPr>
      <w:r>
        <w:rPr>
          <w:rFonts w:hint="eastAsia" w:ascii="仿宋" w:hAnsi="仿宋" w:eastAsia="仿宋" w:cs="仿宋"/>
          <w:szCs w:val="28"/>
        </w:rPr>
        <w:t>式中：P</w:t>
      </w:r>
      <w:r>
        <w:rPr>
          <w:rFonts w:hint="eastAsia" w:ascii="仿宋" w:hAnsi="仿宋" w:eastAsia="仿宋" w:cs="仿宋"/>
          <w:szCs w:val="28"/>
          <w:vertAlign w:val="subscript"/>
        </w:rPr>
        <w:t>ls</w:t>
      </w:r>
      <w:r>
        <w:rPr>
          <w:rFonts w:hint="eastAsia" w:ascii="仿宋" w:hAnsi="仿宋" w:eastAsia="仿宋" w:cs="仿宋"/>
          <w:szCs w:val="28"/>
        </w:rPr>
        <w:t>——修正到某一宗地实际开发程度下的宗地地价；</w:t>
      </w:r>
    </w:p>
    <w:p>
      <w:pPr>
        <w:autoSpaceDN w:val="0"/>
        <w:snapToGrid w:val="0"/>
        <w:ind w:firstLine="1400" w:firstLineChars="500"/>
        <w:jc w:val="both"/>
        <w:rPr>
          <w:rFonts w:ascii="仿宋" w:hAnsi="仿宋" w:eastAsia="仿宋" w:cs="仿宋"/>
          <w:szCs w:val="28"/>
        </w:rPr>
      </w:pPr>
      <w:r>
        <w:rPr>
          <w:rFonts w:hint="eastAsia" w:ascii="仿宋" w:hAnsi="仿宋" w:eastAsia="仿宋" w:cs="仿宋"/>
          <w:szCs w:val="28"/>
        </w:rPr>
        <w:t>P</w:t>
      </w:r>
      <w:r>
        <w:rPr>
          <w:rFonts w:hint="eastAsia" w:ascii="仿宋" w:hAnsi="仿宋" w:eastAsia="仿宋" w:cs="仿宋"/>
          <w:szCs w:val="28"/>
          <w:vertAlign w:val="subscript"/>
        </w:rPr>
        <w:t>li</w:t>
      </w:r>
      <w:r>
        <w:rPr>
          <w:rFonts w:hint="eastAsia" w:ascii="仿宋" w:hAnsi="仿宋" w:eastAsia="仿宋" w:cs="仿宋"/>
          <w:szCs w:val="28"/>
        </w:rPr>
        <w:t>——基准地价；</w:t>
      </w:r>
    </w:p>
    <w:p>
      <w:pPr>
        <w:snapToGrid w:val="0"/>
        <w:ind w:firstLine="1400" w:firstLineChars="500"/>
      </w:pPr>
      <w:r>
        <w:rPr>
          <w:rFonts w:hint="eastAsia" w:ascii="仿宋" w:hAnsi="仿宋" w:eastAsia="仿宋" w:cs="仿宋"/>
          <w:szCs w:val="28"/>
        </w:rPr>
        <w:t>Ki——宗地条件达到“场平”时修正值。</w:t>
      </w:r>
    </w:p>
    <w:p>
      <w:pPr>
        <w:widowControl/>
        <w:snapToGrid w:val="0"/>
        <w:spacing w:line="276" w:lineRule="auto"/>
        <w:ind w:firstLine="0" w:firstLineChars="0"/>
        <w:jc w:val="center"/>
        <w:textAlignment w:val="center"/>
        <w:rPr>
          <w:rFonts w:ascii="仿宋" w:hAnsi="仿宋" w:eastAsia="仿宋" w:cs="仿宋"/>
          <w:b/>
          <w:bCs/>
          <w:sz w:val="24"/>
          <w:szCs w:val="24"/>
        </w:rPr>
      </w:pPr>
      <w:r>
        <w:rPr>
          <w:rFonts w:hint="eastAsia" w:ascii="仿宋" w:hAnsi="仿宋" w:eastAsia="仿宋" w:cs="仿宋"/>
          <w:b/>
          <w:bCs/>
          <w:sz w:val="24"/>
          <w:szCs w:val="24"/>
        </w:rPr>
        <w:t>表2-2</w:t>
      </w:r>
      <w:r>
        <w:rPr>
          <w:rFonts w:ascii="仿宋" w:hAnsi="仿宋" w:eastAsia="仿宋" w:cs="仿宋"/>
          <w:b/>
          <w:bCs/>
          <w:sz w:val="24"/>
          <w:szCs w:val="24"/>
        </w:rPr>
        <w:t xml:space="preserve">2  </w:t>
      </w:r>
      <w:r>
        <w:rPr>
          <w:rFonts w:hint="eastAsia" w:ascii="仿宋" w:hAnsi="仿宋" w:eastAsia="仿宋" w:cs="仿宋"/>
          <w:b/>
          <w:bCs/>
          <w:sz w:val="24"/>
          <w:szCs w:val="24"/>
        </w:rPr>
        <w:t xml:space="preserve"> 头道桥镇基础设施配套程度修正</w:t>
      </w:r>
    </w:p>
    <w:p>
      <w:pPr>
        <w:widowControl/>
        <w:snapToGrid w:val="0"/>
        <w:spacing w:line="276" w:lineRule="auto"/>
        <w:ind w:firstLine="0" w:firstLineChars="0"/>
        <w:jc w:val="right"/>
        <w:textAlignment w:val="center"/>
        <w:rPr>
          <w:rFonts w:ascii="仿宋" w:hAnsi="仿宋" w:eastAsia="仿宋" w:cs="仿宋"/>
          <w:sz w:val="24"/>
          <w:szCs w:val="24"/>
        </w:rPr>
      </w:pPr>
      <w:r>
        <w:rPr>
          <w:rFonts w:hint="eastAsia" w:ascii="仿宋" w:hAnsi="仿宋" w:eastAsia="仿宋" w:cs="仿宋"/>
          <w:sz w:val="24"/>
          <w:szCs w:val="24"/>
        </w:rPr>
        <w:t>单位：元/㎡</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40"/>
        <w:gridCol w:w="894"/>
        <w:gridCol w:w="890"/>
        <w:gridCol w:w="890"/>
        <w:gridCol w:w="890"/>
        <w:gridCol w:w="890"/>
        <w:gridCol w:w="890"/>
        <w:gridCol w:w="891"/>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952"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基础设施状况</w:t>
            </w:r>
          </w:p>
        </w:tc>
        <w:tc>
          <w:tcPr>
            <w:tcW w:w="489"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通路</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通电</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通讯</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供水</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排水</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通暖</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通气</w:t>
            </w:r>
          </w:p>
        </w:tc>
        <w:tc>
          <w:tcPr>
            <w:tcW w:w="63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952"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开发费用</w:t>
            </w:r>
          </w:p>
        </w:tc>
        <w:tc>
          <w:tcPr>
            <w:tcW w:w="489"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5-10</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5-10</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5-10</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5-15</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5-15</w:t>
            </w:r>
          </w:p>
        </w:tc>
        <w:tc>
          <w:tcPr>
            <w:tcW w:w="487" w:type="pct"/>
            <w:vAlign w:val="center"/>
          </w:tcPr>
          <w:p>
            <w:pPr>
              <w:ind w:firstLine="0" w:firstLineChars="0"/>
              <w:jc w:val="center"/>
              <w:rPr>
                <w:rFonts w:ascii="仿宋" w:hAnsi="仿宋" w:eastAsia="仿宋" w:cs="仿宋"/>
                <w:sz w:val="24"/>
                <w:szCs w:val="24"/>
                <w:u w:color="000000"/>
              </w:rPr>
            </w:pPr>
            <w:r>
              <w:rPr>
                <w:rFonts w:ascii="仿宋" w:hAnsi="仿宋" w:eastAsia="仿宋" w:cs="仿宋"/>
                <w:sz w:val="24"/>
                <w:szCs w:val="24"/>
                <w:u w:color="000000"/>
              </w:rPr>
              <w:t>10</w:t>
            </w:r>
            <w:r>
              <w:rPr>
                <w:rFonts w:hint="eastAsia" w:ascii="仿宋" w:hAnsi="仿宋" w:eastAsia="仿宋" w:cs="仿宋"/>
                <w:sz w:val="24"/>
                <w:szCs w:val="24"/>
                <w:u w:color="000000"/>
              </w:rPr>
              <w:t>-</w:t>
            </w:r>
            <w:r>
              <w:rPr>
                <w:rFonts w:ascii="仿宋" w:hAnsi="仿宋" w:eastAsia="仿宋" w:cs="仿宋"/>
                <w:sz w:val="24"/>
                <w:szCs w:val="24"/>
                <w:u w:color="000000"/>
              </w:rPr>
              <w:t>20</w:t>
            </w:r>
          </w:p>
        </w:tc>
        <w:tc>
          <w:tcPr>
            <w:tcW w:w="48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10-20</w:t>
            </w:r>
          </w:p>
        </w:tc>
        <w:tc>
          <w:tcPr>
            <w:tcW w:w="637" w:type="pct"/>
            <w:vAlign w:val="center"/>
          </w:tcPr>
          <w:p>
            <w:pPr>
              <w:ind w:firstLine="0" w:firstLineChars="0"/>
              <w:jc w:val="center"/>
              <w:rPr>
                <w:rFonts w:ascii="仿宋" w:hAnsi="仿宋" w:eastAsia="仿宋" w:cs="仿宋"/>
                <w:sz w:val="24"/>
                <w:szCs w:val="24"/>
                <w:u w:color="000000"/>
              </w:rPr>
            </w:pPr>
            <w:r>
              <w:rPr>
                <w:rFonts w:hint="eastAsia" w:ascii="仿宋" w:hAnsi="仿宋" w:eastAsia="仿宋" w:cs="仿宋"/>
                <w:sz w:val="24"/>
                <w:szCs w:val="24"/>
                <w:u w:color="000000"/>
              </w:rPr>
              <w:t>5-10</w:t>
            </w:r>
          </w:p>
        </w:tc>
      </w:tr>
    </w:tbl>
    <w:p>
      <w:pPr>
        <w:pStyle w:val="2"/>
        <w:ind w:firstLine="643"/>
        <w:sectPr>
          <w:pgSz w:w="11907" w:h="16840"/>
          <w:pgMar w:top="1418" w:right="1440" w:bottom="1701" w:left="1440" w:header="851" w:footer="992" w:gutter="0"/>
          <w:cols w:space="720" w:num="1"/>
          <w:docGrid w:type="lines" w:linePitch="312" w:charSpace="0"/>
        </w:sectPr>
      </w:pPr>
    </w:p>
    <w:p>
      <w:pPr>
        <w:pStyle w:val="20"/>
        <w:spacing w:before="312" w:beforeLines="100" w:after="312" w:afterLines="100"/>
        <w:ind w:firstLine="0" w:firstLineChars="0"/>
        <w:jc w:val="both"/>
        <w:outlineLvl w:val="0"/>
        <w:rPr>
          <w:rFonts w:ascii="黑体" w:hAnsi="黑体" w:eastAsia="黑体" w:cs="黑体"/>
          <w:sz w:val="32"/>
          <w:szCs w:val="32"/>
          <w:u w:color="000000"/>
        </w:rPr>
      </w:pPr>
      <w:bookmarkStart w:id="31" w:name="_Toc143875233"/>
      <w:r>
        <w:rPr>
          <w:rFonts w:hint="eastAsia" w:ascii="黑体" w:hAnsi="黑体" w:eastAsia="黑体" w:cs="黑体"/>
          <w:sz w:val="32"/>
          <w:szCs w:val="32"/>
          <w:u w:color="000000"/>
        </w:rPr>
        <w:t>三、</w:t>
      </w:r>
      <w:r>
        <w:rPr>
          <w:rFonts w:ascii="黑体" w:hAnsi="黑体" w:eastAsia="黑体" w:cs="黑体"/>
          <w:sz w:val="32"/>
          <w:szCs w:val="32"/>
          <w:u w:color="000000"/>
        </w:rPr>
        <w:t>基准地价对比分析</w:t>
      </w:r>
      <w:bookmarkEnd w:id="31"/>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32" w:name="_Toc22217"/>
      <w:bookmarkStart w:id="33" w:name="_Toc143875234"/>
      <w:bookmarkStart w:id="34" w:name="_Toc143530727"/>
      <w:bookmarkStart w:id="35" w:name="_Toc23852"/>
      <w:bookmarkStart w:id="36" w:name="_Toc24925"/>
      <w:bookmarkStart w:id="37" w:name="_Toc5186"/>
      <w:bookmarkStart w:id="38" w:name="_Toc22449"/>
      <w:bookmarkStart w:id="39" w:name="_Toc455065162"/>
      <w:bookmarkStart w:id="40" w:name="_Toc11958"/>
      <w:bookmarkStart w:id="41" w:name="_Toc14661"/>
      <w:bookmarkStart w:id="42" w:name="_Toc23678"/>
      <w:r>
        <w:rPr>
          <w:rFonts w:hint="eastAsia" w:ascii="仿宋" w:hAnsi="仿宋" w:eastAsia="仿宋"/>
          <w:b/>
          <w:bCs/>
          <w:color w:val="000000"/>
          <w:kern w:val="0"/>
          <w:sz w:val="30"/>
          <w:szCs w:val="30"/>
          <w:u w:color="000000"/>
        </w:rPr>
        <w:t>（一）上一轮基准地价简介</w:t>
      </w:r>
      <w:bookmarkEnd w:id="32"/>
      <w:bookmarkEnd w:id="33"/>
      <w:bookmarkEnd w:id="34"/>
      <w:bookmarkEnd w:id="35"/>
      <w:bookmarkEnd w:id="36"/>
      <w:bookmarkEnd w:id="37"/>
      <w:bookmarkEnd w:id="38"/>
      <w:bookmarkEnd w:id="39"/>
      <w:bookmarkEnd w:id="40"/>
    </w:p>
    <w:p>
      <w:pPr>
        <w:spacing w:after="93" w:afterLines="30"/>
        <w:ind w:firstLine="560"/>
        <w:rPr>
          <w:rFonts w:ascii="仿宋_GB2312" w:hAnsi="仿宋"/>
          <w:sz w:val="24"/>
          <w:szCs w:val="24"/>
        </w:rPr>
      </w:pPr>
      <w:r>
        <w:rPr>
          <w:rFonts w:hint="eastAsia" w:ascii="仿宋" w:hAnsi="仿宋"/>
          <w:szCs w:val="28"/>
        </w:rPr>
        <w:t>头道桥镇上轮基准地价期日为2014年7月1日，价格见表</w:t>
      </w:r>
      <w:r>
        <w:rPr>
          <w:rFonts w:ascii="仿宋" w:hAnsi="仿宋"/>
          <w:szCs w:val="28"/>
        </w:rPr>
        <w:t>3</w:t>
      </w:r>
      <w:r>
        <w:rPr>
          <w:rFonts w:hint="eastAsia" w:ascii="仿宋" w:hAnsi="仿宋"/>
          <w:szCs w:val="28"/>
        </w:rPr>
        <w:t>-1：</w:t>
      </w:r>
    </w:p>
    <w:p>
      <w:pPr>
        <w:widowControl/>
        <w:spacing w:line="240" w:lineRule="auto"/>
        <w:ind w:right="-334" w:firstLine="482"/>
        <w:jc w:val="center"/>
        <w:rPr>
          <w:rFonts w:ascii="仿宋" w:hAnsi="仿宋"/>
          <w:b/>
          <w:sz w:val="24"/>
          <w:szCs w:val="24"/>
        </w:rPr>
      </w:pPr>
      <w:r>
        <w:rPr>
          <w:rFonts w:hint="eastAsia" w:ascii="仿宋" w:hAnsi="仿宋"/>
          <w:b/>
          <w:sz w:val="24"/>
          <w:szCs w:val="24"/>
        </w:rPr>
        <w:t>表</w:t>
      </w:r>
      <w:r>
        <w:rPr>
          <w:rFonts w:ascii="仿宋" w:hAnsi="仿宋"/>
          <w:b/>
          <w:sz w:val="24"/>
          <w:szCs w:val="24"/>
        </w:rPr>
        <w:t>3</w:t>
      </w:r>
      <w:r>
        <w:rPr>
          <w:rFonts w:hint="eastAsia" w:ascii="仿宋" w:hAnsi="仿宋"/>
          <w:b/>
          <w:sz w:val="24"/>
          <w:szCs w:val="24"/>
        </w:rPr>
        <w:t>-1  头道桥镇上轮基准地价表</w:t>
      </w:r>
    </w:p>
    <w:p>
      <w:pPr>
        <w:widowControl/>
        <w:spacing w:line="240" w:lineRule="auto"/>
        <w:ind w:right="-334" w:firstLine="480"/>
        <w:jc w:val="right"/>
        <w:rPr>
          <w:rFonts w:ascii="仿宋" w:hAnsi="仿宋"/>
          <w:b/>
          <w:sz w:val="24"/>
          <w:szCs w:val="24"/>
        </w:rPr>
      </w:pPr>
      <w:r>
        <w:rPr>
          <w:rFonts w:hint="eastAsia" w:ascii="仿宋" w:hAnsi="仿宋" w:cs="仿宋"/>
          <w:sz w:val="24"/>
          <w:szCs w:val="24"/>
        </w:rPr>
        <w:t>单位：元/m</w:t>
      </w:r>
      <w:r>
        <w:rPr>
          <w:rFonts w:hint="eastAsia" w:ascii="仿宋" w:hAnsi="仿宋" w:cs="仿宋"/>
          <w:sz w:val="24"/>
          <w:szCs w:val="24"/>
          <w:vertAlign w:val="superscript"/>
        </w:rPr>
        <w:t>2</w:t>
      </w:r>
    </w:p>
    <w:tbl>
      <w:tblPr>
        <w:tblStyle w:val="37"/>
        <w:tblpPr w:leftFromText="180" w:rightFromText="180" w:vertAnchor="text" w:horzAnchor="page" w:tblpX="1815" w:tblpY="1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428"/>
        <w:gridCol w:w="1518"/>
        <w:gridCol w:w="1774"/>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942" w:type="pct"/>
            <w:vAlign w:val="center"/>
          </w:tcPr>
          <w:p>
            <w:pPr>
              <w:ind w:firstLine="480"/>
              <w:jc w:val="center"/>
              <w:rPr>
                <w:rFonts w:ascii="仿宋" w:hAnsi="仿宋"/>
                <w:sz w:val="24"/>
                <w:szCs w:val="24"/>
              </w:rPr>
            </w:pPr>
            <w:r>
              <w:rPr>
                <w:rFonts w:hint="eastAsia" w:ascii="仿宋" w:hAnsi="仿宋"/>
                <w:sz w:val="24"/>
                <w:szCs w:val="24"/>
              </w:rPr>
              <w:t>区域</w:t>
            </w:r>
          </w:p>
        </w:tc>
        <w:tc>
          <w:tcPr>
            <w:tcW w:w="1315" w:type="pct"/>
            <w:vAlign w:val="center"/>
          </w:tcPr>
          <w:p>
            <w:pPr>
              <w:ind w:firstLine="480"/>
              <w:jc w:val="center"/>
              <w:rPr>
                <w:rFonts w:ascii="仿宋" w:hAnsi="仿宋"/>
                <w:sz w:val="24"/>
                <w:szCs w:val="24"/>
              </w:rPr>
            </w:pPr>
            <w:r>
              <w:rPr>
                <w:rFonts w:ascii="仿宋" w:hAnsi="仿宋"/>
                <w:sz w:val="24"/>
                <w:szCs w:val="24"/>
              </w:rPr>
              <w:t>级别</w:t>
            </w:r>
          </w:p>
        </w:tc>
        <w:tc>
          <w:tcPr>
            <w:tcW w:w="822" w:type="pct"/>
            <w:vAlign w:val="center"/>
          </w:tcPr>
          <w:p>
            <w:pPr>
              <w:ind w:firstLine="480"/>
              <w:jc w:val="center"/>
              <w:rPr>
                <w:rFonts w:ascii="仿宋" w:hAnsi="仿宋"/>
                <w:sz w:val="24"/>
                <w:szCs w:val="24"/>
              </w:rPr>
            </w:pPr>
            <w:r>
              <w:rPr>
                <w:rFonts w:ascii="仿宋" w:hAnsi="仿宋"/>
                <w:sz w:val="24"/>
                <w:szCs w:val="24"/>
              </w:rPr>
              <w:t>Ⅰ级</w:t>
            </w:r>
          </w:p>
        </w:tc>
        <w:tc>
          <w:tcPr>
            <w:tcW w:w="961" w:type="pct"/>
            <w:vAlign w:val="center"/>
          </w:tcPr>
          <w:p>
            <w:pPr>
              <w:ind w:firstLine="480"/>
              <w:jc w:val="center"/>
              <w:rPr>
                <w:rFonts w:ascii="仿宋" w:hAnsi="仿宋"/>
                <w:sz w:val="24"/>
                <w:szCs w:val="24"/>
              </w:rPr>
            </w:pPr>
            <w:r>
              <w:rPr>
                <w:rFonts w:ascii="仿宋" w:hAnsi="仿宋"/>
                <w:sz w:val="24"/>
                <w:szCs w:val="24"/>
              </w:rPr>
              <w:t>Ⅱ级</w:t>
            </w:r>
          </w:p>
        </w:tc>
        <w:tc>
          <w:tcPr>
            <w:tcW w:w="960" w:type="pct"/>
            <w:vAlign w:val="center"/>
          </w:tcPr>
          <w:p>
            <w:pPr>
              <w:ind w:firstLine="480"/>
              <w:jc w:val="center"/>
              <w:rPr>
                <w:rFonts w:ascii="仿宋" w:hAnsi="仿宋"/>
                <w:sz w:val="24"/>
                <w:szCs w:val="24"/>
              </w:rPr>
            </w:pPr>
            <w:r>
              <w:rPr>
                <w:rFonts w:hint="eastAsia" w:ascii="仿宋" w:hAnsi="仿宋"/>
                <w:sz w:val="24"/>
                <w:szCs w:val="24"/>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942" w:type="pct"/>
            <w:vMerge w:val="restart"/>
            <w:vAlign w:val="center"/>
          </w:tcPr>
          <w:p>
            <w:pPr>
              <w:ind w:firstLine="480"/>
              <w:jc w:val="center"/>
              <w:rPr>
                <w:rFonts w:ascii="仿宋" w:hAnsi="仿宋"/>
                <w:sz w:val="24"/>
                <w:szCs w:val="24"/>
              </w:rPr>
            </w:pPr>
            <w:r>
              <w:rPr>
                <w:rFonts w:hint="eastAsia" w:ascii="仿宋" w:hAnsi="仿宋"/>
                <w:sz w:val="24"/>
                <w:szCs w:val="24"/>
              </w:rPr>
              <w:t>头道桥镇</w:t>
            </w:r>
          </w:p>
        </w:tc>
        <w:tc>
          <w:tcPr>
            <w:tcW w:w="1315" w:type="pct"/>
            <w:vAlign w:val="center"/>
          </w:tcPr>
          <w:p>
            <w:pPr>
              <w:ind w:firstLine="480"/>
              <w:jc w:val="center"/>
              <w:rPr>
                <w:rFonts w:ascii="仿宋" w:hAnsi="仿宋"/>
                <w:sz w:val="24"/>
                <w:szCs w:val="24"/>
              </w:rPr>
            </w:pPr>
            <w:r>
              <w:rPr>
                <w:rFonts w:ascii="仿宋" w:hAnsi="仿宋"/>
                <w:sz w:val="24"/>
                <w:szCs w:val="24"/>
              </w:rPr>
              <w:t>商服地价</w:t>
            </w:r>
          </w:p>
        </w:tc>
        <w:tc>
          <w:tcPr>
            <w:tcW w:w="822" w:type="pct"/>
            <w:vAlign w:val="center"/>
          </w:tcPr>
          <w:p>
            <w:pPr>
              <w:ind w:firstLine="480"/>
              <w:jc w:val="center"/>
              <w:rPr>
                <w:rFonts w:ascii="仿宋" w:hAnsi="仿宋"/>
                <w:sz w:val="24"/>
                <w:szCs w:val="24"/>
              </w:rPr>
            </w:pPr>
            <w:r>
              <w:rPr>
                <w:rFonts w:ascii="仿宋" w:hAnsi="仿宋"/>
                <w:sz w:val="24"/>
                <w:szCs w:val="24"/>
              </w:rPr>
              <w:t>65</w:t>
            </w:r>
          </w:p>
        </w:tc>
        <w:tc>
          <w:tcPr>
            <w:tcW w:w="961" w:type="pct"/>
            <w:vAlign w:val="center"/>
          </w:tcPr>
          <w:p>
            <w:pPr>
              <w:ind w:firstLine="480"/>
              <w:jc w:val="center"/>
              <w:rPr>
                <w:rFonts w:ascii="仿宋" w:hAnsi="仿宋"/>
                <w:sz w:val="24"/>
                <w:szCs w:val="24"/>
              </w:rPr>
            </w:pPr>
            <w:r>
              <w:rPr>
                <w:rFonts w:ascii="仿宋" w:hAnsi="仿宋"/>
                <w:sz w:val="24"/>
                <w:szCs w:val="24"/>
              </w:rPr>
              <w:t>55</w:t>
            </w:r>
          </w:p>
        </w:tc>
        <w:tc>
          <w:tcPr>
            <w:tcW w:w="960" w:type="pct"/>
            <w:vAlign w:val="center"/>
          </w:tcPr>
          <w:p>
            <w:pPr>
              <w:ind w:firstLine="480"/>
              <w:jc w:val="center"/>
              <w:rPr>
                <w:rFonts w:ascii="仿宋" w:hAnsi="仿宋"/>
                <w:sz w:val="24"/>
                <w:szCs w:val="24"/>
              </w:rPr>
            </w:pPr>
            <w:r>
              <w:rPr>
                <w:rFonts w:ascii="仿宋" w:hAnsi="仿宋"/>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942" w:type="pct"/>
            <w:vMerge w:val="continue"/>
            <w:vAlign w:val="center"/>
          </w:tcPr>
          <w:p>
            <w:pPr>
              <w:ind w:firstLine="480"/>
              <w:jc w:val="center"/>
              <w:rPr>
                <w:rFonts w:ascii="仿宋" w:hAnsi="仿宋"/>
                <w:sz w:val="24"/>
                <w:szCs w:val="24"/>
              </w:rPr>
            </w:pPr>
          </w:p>
        </w:tc>
        <w:tc>
          <w:tcPr>
            <w:tcW w:w="1315" w:type="pct"/>
            <w:vAlign w:val="center"/>
          </w:tcPr>
          <w:p>
            <w:pPr>
              <w:ind w:firstLine="480"/>
              <w:jc w:val="center"/>
              <w:rPr>
                <w:rFonts w:ascii="仿宋" w:hAnsi="仿宋"/>
                <w:sz w:val="24"/>
                <w:szCs w:val="24"/>
              </w:rPr>
            </w:pPr>
            <w:r>
              <w:rPr>
                <w:rFonts w:ascii="仿宋" w:hAnsi="仿宋"/>
                <w:sz w:val="24"/>
                <w:szCs w:val="24"/>
              </w:rPr>
              <w:t>住宅地价</w:t>
            </w:r>
          </w:p>
        </w:tc>
        <w:tc>
          <w:tcPr>
            <w:tcW w:w="822" w:type="pct"/>
            <w:vAlign w:val="center"/>
          </w:tcPr>
          <w:p>
            <w:pPr>
              <w:ind w:firstLine="480"/>
              <w:jc w:val="center"/>
              <w:rPr>
                <w:rFonts w:ascii="仿宋" w:hAnsi="仿宋"/>
                <w:sz w:val="24"/>
                <w:szCs w:val="24"/>
              </w:rPr>
            </w:pPr>
            <w:r>
              <w:rPr>
                <w:rFonts w:ascii="仿宋" w:hAnsi="仿宋"/>
                <w:sz w:val="24"/>
                <w:szCs w:val="24"/>
              </w:rPr>
              <w:t>40</w:t>
            </w:r>
          </w:p>
        </w:tc>
        <w:tc>
          <w:tcPr>
            <w:tcW w:w="961" w:type="pct"/>
            <w:vAlign w:val="center"/>
          </w:tcPr>
          <w:p>
            <w:pPr>
              <w:ind w:firstLine="480"/>
              <w:jc w:val="center"/>
              <w:rPr>
                <w:rFonts w:ascii="仿宋" w:hAnsi="仿宋"/>
                <w:sz w:val="24"/>
                <w:szCs w:val="24"/>
              </w:rPr>
            </w:pPr>
            <w:r>
              <w:rPr>
                <w:rFonts w:ascii="仿宋" w:hAnsi="仿宋"/>
                <w:sz w:val="24"/>
                <w:szCs w:val="24"/>
              </w:rPr>
              <w:t>30</w:t>
            </w:r>
          </w:p>
        </w:tc>
        <w:tc>
          <w:tcPr>
            <w:tcW w:w="960" w:type="pct"/>
            <w:vAlign w:val="center"/>
          </w:tcPr>
          <w:p>
            <w:pPr>
              <w:ind w:firstLine="480"/>
              <w:jc w:val="center"/>
              <w:rPr>
                <w:rFonts w:ascii="仿宋" w:hAnsi="仿宋"/>
                <w:sz w:val="24"/>
                <w:szCs w:val="24"/>
              </w:rPr>
            </w:pPr>
            <w:r>
              <w:rPr>
                <w:rFonts w:ascii="仿宋" w:hAnsi="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5" w:hRule="atLeast"/>
        </w:trPr>
        <w:tc>
          <w:tcPr>
            <w:tcW w:w="942" w:type="pct"/>
            <w:vMerge w:val="continue"/>
            <w:vAlign w:val="center"/>
          </w:tcPr>
          <w:p>
            <w:pPr>
              <w:ind w:firstLine="480"/>
              <w:jc w:val="center"/>
              <w:rPr>
                <w:rFonts w:ascii="仿宋" w:hAnsi="仿宋"/>
                <w:sz w:val="24"/>
                <w:szCs w:val="24"/>
              </w:rPr>
            </w:pPr>
          </w:p>
        </w:tc>
        <w:tc>
          <w:tcPr>
            <w:tcW w:w="1315" w:type="pct"/>
            <w:vAlign w:val="center"/>
          </w:tcPr>
          <w:p>
            <w:pPr>
              <w:ind w:firstLine="480"/>
              <w:jc w:val="center"/>
              <w:rPr>
                <w:rFonts w:ascii="仿宋" w:hAnsi="仿宋"/>
                <w:sz w:val="24"/>
                <w:szCs w:val="24"/>
              </w:rPr>
            </w:pPr>
            <w:r>
              <w:rPr>
                <w:rFonts w:ascii="仿宋" w:hAnsi="仿宋"/>
                <w:sz w:val="24"/>
                <w:szCs w:val="24"/>
              </w:rPr>
              <w:t>工业地价</w:t>
            </w:r>
          </w:p>
        </w:tc>
        <w:tc>
          <w:tcPr>
            <w:tcW w:w="822" w:type="pct"/>
            <w:vAlign w:val="center"/>
          </w:tcPr>
          <w:p>
            <w:pPr>
              <w:ind w:firstLine="480"/>
              <w:jc w:val="center"/>
              <w:rPr>
                <w:rFonts w:ascii="仿宋" w:hAnsi="仿宋"/>
                <w:sz w:val="24"/>
                <w:szCs w:val="24"/>
              </w:rPr>
            </w:pPr>
            <w:r>
              <w:rPr>
                <w:rFonts w:ascii="仿宋" w:hAnsi="仿宋"/>
                <w:sz w:val="24"/>
                <w:szCs w:val="24"/>
              </w:rPr>
              <w:t>20</w:t>
            </w:r>
          </w:p>
        </w:tc>
        <w:tc>
          <w:tcPr>
            <w:tcW w:w="961" w:type="pct"/>
            <w:vAlign w:val="center"/>
          </w:tcPr>
          <w:p>
            <w:pPr>
              <w:ind w:firstLine="480"/>
              <w:jc w:val="center"/>
              <w:rPr>
                <w:rFonts w:ascii="仿宋" w:hAnsi="仿宋"/>
                <w:sz w:val="24"/>
                <w:szCs w:val="24"/>
              </w:rPr>
            </w:pPr>
            <w:r>
              <w:rPr>
                <w:rFonts w:ascii="仿宋" w:hAnsi="仿宋"/>
                <w:sz w:val="24"/>
                <w:szCs w:val="24"/>
              </w:rPr>
              <w:t>15</w:t>
            </w:r>
          </w:p>
        </w:tc>
        <w:tc>
          <w:tcPr>
            <w:tcW w:w="960" w:type="pct"/>
            <w:vAlign w:val="center"/>
          </w:tcPr>
          <w:p>
            <w:pPr>
              <w:ind w:firstLine="480"/>
              <w:jc w:val="center"/>
              <w:rPr>
                <w:rFonts w:ascii="仿宋" w:hAnsi="仿宋"/>
                <w:sz w:val="24"/>
                <w:szCs w:val="24"/>
              </w:rPr>
            </w:pPr>
            <w:r>
              <w:rPr>
                <w:rFonts w:hint="eastAsia" w:ascii="仿宋" w:hAnsi="仿宋"/>
                <w:sz w:val="24"/>
                <w:szCs w:val="24"/>
              </w:rPr>
              <w:t>/</w:t>
            </w:r>
          </w:p>
        </w:tc>
      </w:tr>
    </w:tbl>
    <w:p>
      <w:pPr>
        <w:autoSpaceDN w:val="0"/>
        <w:snapToGrid w:val="0"/>
        <w:spacing w:after="93" w:afterLines="30"/>
        <w:ind w:firstLine="560"/>
        <w:rPr>
          <w:rFonts w:ascii="仿宋" w:hAnsi="仿宋" w:cs="仿宋"/>
          <w:szCs w:val="28"/>
        </w:rPr>
      </w:pPr>
      <w:r>
        <w:rPr>
          <w:rFonts w:hint="eastAsia" w:ascii="仿宋" w:hAnsi="仿宋" w:cs="仿宋"/>
          <w:szCs w:val="28"/>
        </w:rPr>
        <w:t>基准地价定义：</w:t>
      </w:r>
    </w:p>
    <w:p>
      <w:pPr>
        <w:autoSpaceDN w:val="0"/>
        <w:snapToGrid w:val="0"/>
        <w:spacing w:after="93" w:afterLines="30"/>
        <w:ind w:firstLine="560"/>
        <w:rPr>
          <w:rFonts w:ascii="仿宋" w:hAnsi="仿宋" w:cs="仿宋"/>
          <w:szCs w:val="28"/>
        </w:rPr>
      </w:pPr>
      <w:r>
        <w:rPr>
          <w:rFonts w:hint="eastAsia" w:ascii="仿宋" w:hAnsi="仿宋" w:cs="仿宋"/>
          <w:szCs w:val="28"/>
        </w:rPr>
        <w:t>1、估价期日：2014年7月1日；</w:t>
      </w:r>
    </w:p>
    <w:p>
      <w:pPr>
        <w:autoSpaceDN w:val="0"/>
        <w:snapToGrid w:val="0"/>
        <w:spacing w:after="93" w:afterLines="30"/>
        <w:ind w:firstLine="560"/>
        <w:rPr>
          <w:rFonts w:ascii="仿宋" w:hAnsi="仿宋" w:cs="仿宋"/>
          <w:szCs w:val="28"/>
        </w:rPr>
      </w:pPr>
      <w:r>
        <w:rPr>
          <w:rFonts w:hint="eastAsia" w:ascii="仿宋" w:hAnsi="仿宋" w:cs="仿宋"/>
          <w:szCs w:val="28"/>
        </w:rPr>
        <w:t>2、土地使用年期：商服用地40年、住宅用地70年、工业用地50年；</w:t>
      </w:r>
    </w:p>
    <w:p>
      <w:pPr>
        <w:autoSpaceDN w:val="0"/>
        <w:snapToGrid w:val="0"/>
        <w:spacing w:after="93" w:afterLines="30"/>
        <w:ind w:firstLine="560"/>
        <w:rPr>
          <w:rFonts w:ascii="仿宋" w:hAnsi="仿宋" w:cs="仿宋"/>
          <w:szCs w:val="28"/>
        </w:rPr>
      </w:pPr>
      <w:r>
        <w:rPr>
          <w:rFonts w:hint="eastAsia" w:ascii="仿宋" w:hAnsi="仿宋" w:cs="仿宋"/>
          <w:szCs w:val="28"/>
        </w:rPr>
        <w:t>3、设定容积率：商服用地</w:t>
      </w:r>
      <w:r>
        <w:rPr>
          <w:rFonts w:ascii="仿宋" w:hAnsi="仿宋" w:cs="仿宋"/>
          <w:szCs w:val="28"/>
        </w:rPr>
        <w:t>0.8</w:t>
      </w:r>
      <w:r>
        <w:rPr>
          <w:rFonts w:hint="eastAsia" w:ascii="仿宋" w:hAnsi="仿宋" w:cs="仿宋"/>
          <w:szCs w:val="28"/>
        </w:rPr>
        <w:t>；住宅用地</w:t>
      </w:r>
      <w:r>
        <w:rPr>
          <w:rFonts w:ascii="仿宋" w:hAnsi="仿宋" w:cs="仿宋"/>
          <w:szCs w:val="28"/>
        </w:rPr>
        <w:t>0.5</w:t>
      </w:r>
      <w:r>
        <w:rPr>
          <w:rFonts w:hint="eastAsia" w:ascii="仿宋" w:hAnsi="仿宋" w:cs="仿宋"/>
          <w:szCs w:val="28"/>
        </w:rPr>
        <w:t>，工业用地0.3;</w:t>
      </w:r>
    </w:p>
    <w:p>
      <w:pPr>
        <w:autoSpaceDN w:val="0"/>
        <w:snapToGrid w:val="0"/>
        <w:spacing w:after="93" w:afterLines="30"/>
        <w:ind w:firstLine="560"/>
        <w:rPr>
          <w:rFonts w:ascii="仿宋" w:hAnsi="仿宋" w:cs="仿宋"/>
          <w:szCs w:val="28"/>
        </w:rPr>
      </w:pPr>
      <w:r>
        <w:rPr>
          <w:rFonts w:hint="eastAsia" w:ascii="仿宋" w:hAnsi="仿宋" w:cs="仿宋"/>
          <w:szCs w:val="28"/>
        </w:rPr>
        <w:t>4、开发程度：商服用地、住宅用地、工业用地“四通一平”(宗地红线外通上水、通电、通路、通讯、宗地内场地平整)；</w:t>
      </w:r>
    </w:p>
    <w:p>
      <w:pPr>
        <w:autoSpaceDN w:val="0"/>
        <w:snapToGrid w:val="0"/>
        <w:spacing w:after="93" w:afterLines="30"/>
        <w:ind w:firstLine="560"/>
        <w:rPr>
          <w:rFonts w:ascii="仿宋" w:hAnsi="仿宋" w:cs="仿宋"/>
          <w:szCs w:val="28"/>
        </w:rPr>
      </w:pPr>
      <w:r>
        <w:rPr>
          <w:rFonts w:hint="eastAsia" w:ascii="仿宋" w:hAnsi="仿宋" w:cs="仿宋"/>
          <w:szCs w:val="28"/>
        </w:rPr>
        <w:t>5、权利状况：国有土地使用权出让，无他项权利限制。</w:t>
      </w:r>
    </w:p>
    <w:p>
      <w:pPr>
        <w:spacing w:before="156" w:beforeLines="50" w:after="156" w:afterLines="50"/>
        <w:ind w:firstLine="602"/>
        <w:outlineLvl w:val="1"/>
        <w:rPr>
          <w:rFonts w:ascii="仿宋" w:hAnsi="仿宋"/>
          <w:b/>
          <w:bCs/>
          <w:sz w:val="30"/>
          <w:szCs w:val="30"/>
        </w:rPr>
      </w:pPr>
      <w:bookmarkStart w:id="43" w:name="_Toc438149402"/>
      <w:bookmarkStart w:id="44" w:name="_Toc143530728"/>
      <w:bookmarkStart w:id="45" w:name="_Toc143875235"/>
      <w:bookmarkStart w:id="46" w:name="_Toc17411"/>
      <w:bookmarkStart w:id="47" w:name="_Toc8745"/>
      <w:bookmarkStart w:id="48" w:name="_Toc20884"/>
      <w:bookmarkStart w:id="49" w:name="_Toc3109"/>
      <w:bookmarkStart w:id="50" w:name="_Toc3602"/>
      <w:bookmarkStart w:id="51" w:name="_Toc1689"/>
      <w:bookmarkStart w:id="52" w:name="_Toc20178"/>
      <w:bookmarkStart w:id="53" w:name="_Toc438149084"/>
      <w:bookmarkStart w:id="54" w:name="_Toc455065163"/>
      <w:r>
        <w:rPr>
          <w:rFonts w:hint="eastAsia" w:ascii="仿宋" w:hAnsi="仿宋"/>
          <w:b/>
          <w:bCs/>
          <w:sz w:val="30"/>
          <w:szCs w:val="30"/>
        </w:rPr>
        <w:t>（二）与上一轮基准地价比较</w:t>
      </w:r>
      <w:bookmarkEnd w:id="43"/>
      <w:bookmarkEnd w:id="44"/>
      <w:bookmarkEnd w:id="45"/>
      <w:bookmarkEnd w:id="46"/>
      <w:bookmarkEnd w:id="47"/>
      <w:bookmarkEnd w:id="48"/>
      <w:bookmarkEnd w:id="49"/>
      <w:bookmarkEnd w:id="50"/>
      <w:bookmarkEnd w:id="51"/>
      <w:bookmarkEnd w:id="52"/>
      <w:bookmarkEnd w:id="53"/>
      <w:bookmarkEnd w:id="54"/>
    </w:p>
    <w:p>
      <w:pPr>
        <w:autoSpaceDN w:val="0"/>
        <w:snapToGrid w:val="0"/>
        <w:spacing w:after="93" w:afterLines="30"/>
        <w:ind w:firstLine="560"/>
        <w:rPr>
          <w:rFonts w:ascii="仿宋" w:hAnsi="仿宋" w:cs="仿宋"/>
          <w:szCs w:val="28"/>
        </w:rPr>
      </w:pPr>
      <w:r>
        <w:rPr>
          <w:rFonts w:hint="eastAsia" w:ascii="仿宋" w:hAnsi="仿宋" w:cs="仿宋"/>
          <w:szCs w:val="28"/>
        </w:rPr>
        <w:t>1、定级范围的比较：2014年头道桥镇基准地价更新面积以城镇规划区范围划定的面积为</w:t>
      </w:r>
      <w:r>
        <w:rPr>
          <w:rFonts w:ascii="仿宋" w:hAnsi="仿宋" w:cs="仿宋"/>
          <w:szCs w:val="28"/>
        </w:rPr>
        <w:t>111</w:t>
      </w:r>
      <w:r>
        <w:rPr>
          <w:rFonts w:hint="eastAsia" w:ascii="仿宋" w:hAnsi="仿宋" w:cs="仿宋"/>
          <w:szCs w:val="28"/>
        </w:rPr>
        <w:t>公顷，本次基准地价更新以城镇开发边界成果为主划定的面积为</w:t>
      </w:r>
      <w:r>
        <w:rPr>
          <w:rFonts w:ascii="仿宋" w:hAnsi="仿宋" w:cs="仿宋"/>
          <w:szCs w:val="28"/>
        </w:rPr>
        <w:t>179.28</w:t>
      </w:r>
      <w:r>
        <w:rPr>
          <w:rFonts w:hint="eastAsia" w:ascii="仿宋" w:hAnsi="仿宋" w:cs="仿宋"/>
          <w:szCs w:val="28"/>
        </w:rPr>
        <w:t>公顷，比2014年评估面积增加了</w:t>
      </w:r>
      <w:r>
        <w:rPr>
          <w:rFonts w:ascii="仿宋" w:hAnsi="仿宋" w:cs="仿宋"/>
          <w:szCs w:val="28"/>
        </w:rPr>
        <w:t>68.28</w:t>
      </w:r>
      <w:r>
        <w:rPr>
          <w:rFonts w:hint="eastAsia" w:ascii="仿宋" w:hAnsi="仿宋" w:cs="仿宋"/>
          <w:szCs w:val="28"/>
        </w:rPr>
        <w:t>公顷。</w:t>
      </w:r>
    </w:p>
    <w:p>
      <w:pPr>
        <w:autoSpaceDN w:val="0"/>
        <w:snapToGrid w:val="0"/>
        <w:spacing w:after="93" w:afterLines="30"/>
        <w:ind w:firstLine="560"/>
        <w:rPr>
          <w:rFonts w:ascii="仿宋" w:hAnsi="仿宋" w:cs="仿宋"/>
          <w:szCs w:val="28"/>
        </w:rPr>
      </w:pPr>
      <w:r>
        <w:rPr>
          <w:rFonts w:hint="eastAsia" w:ascii="仿宋" w:hAnsi="仿宋" w:cs="仿宋"/>
          <w:szCs w:val="28"/>
        </w:rPr>
        <w:t>2、级别数目和级别界线的比较：因定级范围不一致跟上一轮成果的级别数目级别界线均有所变化，头道桥镇上一轮成果商住为三个级别，工业为二个级别，本轮成果商住为三个级别，工业为二个级别，两轮的级别一致。</w:t>
      </w:r>
    </w:p>
    <w:p>
      <w:pPr>
        <w:autoSpaceDN w:val="0"/>
        <w:snapToGrid w:val="0"/>
        <w:spacing w:after="93" w:afterLines="30"/>
        <w:ind w:firstLine="560"/>
        <w:rPr>
          <w:rFonts w:ascii="仿宋" w:hAnsi="仿宋" w:cs="仿宋"/>
          <w:szCs w:val="28"/>
        </w:rPr>
      </w:pPr>
      <w:r>
        <w:rPr>
          <w:rFonts w:hint="eastAsia" w:ascii="仿宋" w:hAnsi="仿宋" w:cs="仿宋"/>
          <w:szCs w:val="28"/>
        </w:rPr>
        <w:t>各级别面积对比如下表</w:t>
      </w:r>
      <w:r>
        <w:rPr>
          <w:rFonts w:ascii="仿宋" w:hAnsi="仿宋" w:cs="仿宋"/>
          <w:szCs w:val="28"/>
        </w:rPr>
        <w:t>3</w:t>
      </w:r>
      <w:r>
        <w:rPr>
          <w:rFonts w:hint="eastAsia" w:ascii="仿宋" w:hAnsi="仿宋" w:cs="仿宋"/>
          <w:szCs w:val="28"/>
        </w:rPr>
        <w:t>-2：</w:t>
      </w:r>
    </w:p>
    <w:p>
      <w:pPr>
        <w:spacing w:line="400" w:lineRule="exact"/>
        <w:ind w:right="480" w:firstLine="482"/>
        <w:jc w:val="center"/>
        <w:rPr>
          <w:rFonts w:ascii="仿宋" w:hAnsi="仿宋"/>
          <w:sz w:val="24"/>
          <w:szCs w:val="24"/>
        </w:rPr>
      </w:pPr>
      <w:r>
        <w:rPr>
          <w:rFonts w:hint="eastAsia" w:ascii="仿宋" w:hAnsi="仿宋"/>
          <w:b/>
          <w:sz w:val="24"/>
          <w:szCs w:val="24"/>
        </w:rPr>
        <w:t>表</w:t>
      </w:r>
      <w:r>
        <w:rPr>
          <w:rFonts w:ascii="仿宋" w:hAnsi="仿宋"/>
          <w:b/>
          <w:sz w:val="24"/>
          <w:szCs w:val="24"/>
        </w:rPr>
        <w:t>3</w:t>
      </w:r>
      <w:r>
        <w:rPr>
          <w:rFonts w:hint="eastAsia" w:ascii="仿宋" w:hAnsi="仿宋"/>
          <w:b/>
          <w:sz w:val="24"/>
          <w:szCs w:val="24"/>
        </w:rPr>
        <w:t>-2   各类用地土地级别与面积对比表</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187"/>
        <w:gridCol w:w="1177"/>
        <w:gridCol w:w="1686"/>
        <w:gridCol w:w="1646"/>
        <w:gridCol w:w="1652"/>
        <w:gridCol w:w="16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1310" w:type="pct"/>
            <w:gridSpan w:val="2"/>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年份</w:t>
            </w:r>
          </w:p>
        </w:tc>
        <w:tc>
          <w:tcPr>
            <w:tcW w:w="1846"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2014年</w:t>
            </w:r>
          </w:p>
        </w:tc>
        <w:tc>
          <w:tcPr>
            <w:tcW w:w="1844"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2023年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1310" w:type="pct"/>
            <w:gridSpan w:val="2"/>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用途级别</w:t>
            </w:r>
          </w:p>
        </w:tc>
        <w:tc>
          <w:tcPr>
            <w:tcW w:w="934"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面积（公顷）</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占比（%）</w:t>
            </w:r>
          </w:p>
        </w:tc>
        <w:tc>
          <w:tcPr>
            <w:tcW w:w="9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面积（公顷）</w:t>
            </w:r>
          </w:p>
        </w:tc>
        <w:tc>
          <w:tcPr>
            <w:tcW w:w="929"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占比（%）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restar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商服用地</w:t>
            </w: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Ⅰ</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7</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6.3</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21.82</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12.17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continue"/>
            <w:tcBorders>
              <w:left w:val="single" w:color="auto" w:sz="4" w:space="0"/>
              <w:right w:val="single" w:color="auto" w:sz="4" w:space="0"/>
            </w:tcBorders>
            <w:vAlign w:val="center"/>
          </w:tcPr>
          <w:p>
            <w:pPr>
              <w:spacing w:line="240" w:lineRule="auto"/>
              <w:ind w:firstLine="480"/>
              <w:jc w:val="center"/>
              <w:rPr>
                <w:rFonts w:ascii="仿宋" w:hAnsi="仿宋"/>
                <w:sz w:val="24"/>
                <w:szCs w:val="24"/>
              </w:rPr>
            </w:pP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Ⅱ</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17</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15.31</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51.08</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28.49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continue"/>
            <w:tcBorders>
              <w:left w:val="single" w:color="auto" w:sz="4" w:space="0"/>
              <w:right w:val="single" w:color="auto" w:sz="4" w:space="0"/>
            </w:tcBorders>
            <w:vAlign w:val="center"/>
          </w:tcPr>
          <w:p>
            <w:pPr>
              <w:spacing w:line="240" w:lineRule="auto"/>
              <w:ind w:firstLine="480"/>
              <w:jc w:val="center"/>
              <w:rPr>
                <w:rFonts w:ascii="仿宋" w:hAnsi="仿宋"/>
                <w:sz w:val="24"/>
                <w:szCs w:val="24"/>
              </w:rPr>
            </w:pP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Ⅲ</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87</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78.84</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106.38</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59.34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restar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住宅用地</w:t>
            </w: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Ⅰ</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7</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6.3</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lang w:bidi="ar"/>
              </w:rPr>
              <w:t>6.96</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3.88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continue"/>
            <w:tcBorders>
              <w:left w:val="single" w:color="auto" w:sz="4" w:space="0"/>
              <w:right w:val="single" w:color="auto" w:sz="4" w:space="0"/>
            </w:tcBorders>
            <w:vAlign w:val="center"/>
          </w:tcPr>
          <w:p>
            <w:pPr>
              <w:spacing w:line="240" w:lineRule="auto"/>
              <w:ind w:firstLine="480"/>
              <w:jc w:val="center"/>
              <w:rPr>
                <w:rFonts w:ascii="仿宋" w:hAnsi="仿宋"/>
                <w:sz w:val="24"/>
                <w:szCs w:val="24"/>
              </w:rPr>
            </w:pP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Ⅱ</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13</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11.71</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lang w:bidi="ar"/>
              </w:rPr>
              <w:t>46.14</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25.74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continue"/>
            <w:tcBorders>
              <w:left w:val="single" w:color="auto" w:sz="4" w:space="0"/>
              <w:right w:val="single" w:color="auto" w:sz="4" w:space="0"/>
            </w:tcBorders>
            <w:vAlign w:val="center"/>
          </w:tcPr>
          <w:p>
            <w:pPr>
              <w:spacing w:line="240" w:lineRule="auto"/>
              <w:ind w:firstLine="480"/>
              <w:jc w:val="center"/>
              <w:rPr>
                <w:rFonts w:ascii="仿宋" w:hAnsi="仿宋"/>
                <w:sz w:val="24"/>
                <w:szCs w:val="24"/>
              </w:rPr>
            </w:pPr>
          </w:p>
        </w:tc>
        <w:tc>
          <w:tcPr>
            <w:tcW w:w="652" w:type="pc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Ⅲ</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91</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81.99</w:t>
            </w:r>
          </w:p>
        </w:tc>
        <w:tc>
          <w:tcPr>
            <w:tcW w:w="915"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lang w:bidi="ar"/>
              </w:rPr>
              <w:t>126.18</w:t>
            </w:r>
          </w:p>
        </w:tc>
        <w:tc>
          <w:tcPr>
            <w:tcW w:w="929"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70.38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restart"/>
            <w:tcBorders>
              <w:top w:val="single" w:color="auto" w:sz="4" w:space="0"/>
              <w:left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工业用地</w:t>
            </w:r>
          </w:p>
        </w:tc>
        <w:tc>
          <w:tcPr>
            <w:tcW w:w="6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Ⅰ</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8</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7.2</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lang w:bidi="ar"/>
              </w:rPr>
              <w:t>70.27</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39.20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658"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p>
        </w:tc>
        <w:tc>
          <w:tcPr>
            <w:tcW w:w="65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rFonts w:ascii="仿宋" w:hAnsi="仿宋"/>
                <w:sz w:val="24"/>
                <w:szCs w:val="24"/>
              </w:rPr>
            </w:pPr>
            <w:r>
              <w:rPr>
                <w:rFonts w:hint="eastAsia" w:ascii="仿宋" w:hAnsi="仿宋"/>
                <w:sz w:val="24"/>
                <w:szCs w:val="24"/>
              </w:rPr>
              <w:t>Ⅱ</w:t>
            </w:r>
          </w:p>
        </w:tc>
        <w:tc>
          <w:tcPr>
            <w:tcW w:w="934"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103</w:t>
            </w:r>
          </w:p>
        </w:tc>
        <w:tc>
          <w:tcPr>
            <w:tcW w:w="912" w:type="pct"/>
            <w:tcBorders>
              <w:top w:val="single" w:color="auto" w:sz="4" w:space="0"/>
              <w:left w:val="single" w:color="auto" w:sz="4" w:space="0"/>
              <w:bottom w:val="single" w:color="auto" w:sz="4" w:space="0"/>
              <w:right w:val="single" w:color="auto" w:sz="4" w:space="0"/>
            </w:tcBorders>
            <w:vAlign w:val="center"/>
          </w:tcPr>
          <w:p>
            <w:pPr>
              <w:spacing w:line="240" w:lineRule="auto"/>
              <w:ind w:firstLine="480"/>
              <w:jc w:val="center"/>
              <w:rPr>
                <w:sz w:val="24"/>
                <w:szCs w:val="24"/>
              </w:rPr>
            </w:pPr>
            <w:r>
              <w:rPr>
                <w:sz w:val="24"/>
                <w:szCs w:val="24"/>
              </w:rPr>
              <w:t>92.80</w:t>
            </w:r>
          </w:p>
        </w:tc>
        <w:tc>
          <w:tcPr>
            <w:tcW w:w="915"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lang w:bidi="ar"/>
              </w:rPr>
              <w:t>109.01</w:t>
            </w:r>
          </w:p>
        </w:tc>
        <w:tc>
          <w:tcPr>
            <w:tcW w:w="929" w:type="pct"/>
            <w:tcBorders>
              <w:top w:val="single" w:color="auto" w:sz="4" w:space="0"/>
              <w:left w:val="single" w:color="auto" w:sz="4" w:space="0"/>
              <w:right w:val="single" w:color="auto" w:sz="4" w:space="0"/>
            </w:tcBorders>
            <w:vAlign w:val="center"/>
          </w:tcPr>
          <w:p>
            <w:pPr>
              <w:spacing w:line="240" w:lineRule="auto"/>
              <w:ind w:firstLine="480"/>
              <w:jc w:val="center"/>
              <w:rPr>
                <w:sz w:val="24"/>
                <w:szCs w:val="24"/>
              </w:rPr>
            </w:pPr>
            <w:r>
              <w:rPr>
                <w:sz w:val="24"/>
                <w:szCs w:val="24"/>
              </w:rPr>
              <w:t>60.80</w:t>
            </w:r>
          </w:p>
        </w:tc>
      </w:tr>
    </w:tbl>
    <w:p>
      <w:pPr>
        <w:autoSpaceDN w:val="0"/>
        <w:snapToGrid w:val="0"/>
        <w:spacing w:after="93" w:afterLines="30"/>
        <w:ind w:firstLine="560"/>
        <w:rPr>
          <w:rFonts w:ascii="仿宋" w:hAnsi="仿宋" w:cs="仿宋"/>
          <w:szCs w:val="28"/>
        </w:rPr>
      </w:pPr>
      <w:r>
        <w:rPr>
          <w:rFonts w:hint="eastAsia" w:ascii="仿宋" w:hAnsi="仿宋" w:cs="仿宋"/>
          <w:szCs w:val="28"/>
        </w:rPr>
        <w:t>从上表可以看出，各类用地级别面积较2</w:t>
      </w:r>
      <w:r>
        <w:rPr>
          <w:rFonts w:ascii="仿宋" w:hAnsi="仿宋" w:cs="仿宋"/>
          <w:szCs w:val="28"/>
        </w:rPr>
        <w:t>014</w:t>
      </w:r>
      <w:r>
        <w:rPr>
          <w:rFonts w:hint="eastAsia" w:ascii="仿宋" w:hAnsi="仿宋" w:cs="仿宋"/>
          <w:szCs w:val="28"/>
        </w:rPr>
        <w:t>年面积都有所增加，其原因为两轮定级范围不一致造成的。</w:t>
      </w:r>
    </w:p>
    <w:p>
      <w:pPr>
        <w:autoSpaceDN w:val="0"/>
        <w:snapToGrid w:val="0"/>
        <w:spacing w:after="93" w:afterLines="30"/>
        <w:ind w:firstLine="560"/>
        <w:rPr>
          <w:rFonts w:ascii="仿宋" w:hAnsi="仿宋" w:cs="仿宋"/>
          <w:szCs w:val="28"/>
        </w:rPr>
      </w:pPr>
      <w:r>
        <w:rPr>
          <w:rFonts w:ascii="仿宋" w:hAnsi="仿宋" w:cs="仿宋"/>
          <w:szCs w:val="28"/>
        </w:rPr>
        <w:t>3</w:t>
      </w:r>
      <w:r>
        <w:rPr>
          <w:rFonts w:hint="eastAsia" w:ascii="仿宋" w:hAnsi="仿宋" w:cs="仿宋"/>
          <w:szCs w:val="28"/>
        </w:rPr>
        <w:t>、地价对比分析：我们将头道桥镇2014年的基准地价与2023年的基准地价进行对比分析时，需要先进行基准地价内涵的统一，开发程度、估价基准日进行修正，使二者具有可比性。分析结果详见下表：</w:t>
      </w:r>
    </w:p>
    <w:p>
      <w:pPr>
        <w:spacing w:line="400" w:lineRule="exact"/>
        <w:ind w:right="480" w:firstLine="482"/>
        <w:jc w:val="center"/>
        <w:rPr>
          <w:rFonts w:ascii="仿宋" w:hAnsi="仿宋"/>
          <w:b/>
          <w:sz w:val="24"/>
          <w:szCs w:val="24"/>
        </w:rPr>
      </w:pPr>
      <w:r>
        <w:rPr>
          <w:rFonts w:hint="eastAsia" w:ascii="仿宋" w:hAnsi="仿宋"/>
          <w:b/>
          <w:sz w:val="24"/>
          <w:szCs w:val="24"/>
        </w:rPr>
        <w:t>表</w:t>
      </w:r>
      <w:r>
        <w:rPr>
          <w:rFonts w:ascii="仿宋" w:hAnsi="仿宋"/>
          <w:b/>
          <w:sz w:val="24"/>
          <w:szCs w:val="24"/>
        </w:rPr>
        <w:t>3</w:t>
      </w:r>
      <w:r>
        <w:rPr>
          <w:rFonts w:hint="eastAsia" w:ascii="仿宋" w:hAnsi="仿宋"/>
          <w:b/>
          <w:sz w:val="24"/>
          <w:szCs w:val="24"/>
        </w:rPr>
        <w:t>-3</w:t>
      </w:r>
      <w:r>
        <w:rPr>
          <w:rFonts w:ascii="仿宋" w:hAnsi="仿宋"/>
          <w:b/>
          <w:sz w:val="24"/>
          <w:szCs w:val="24"/>
        </w:rPr>
        <w:t xml:space="preserve"> </w:t>
      </w:r>
      <w:r>
        <w:rPr>
          <w:rFonts w:hint="eastAsia" w:ascii="仿宋" w:hAnsi="仿宋"/>
          <w:b/>
          <w:sz w:val="24"/>
          <w:szCs w:val="24"/>
        </w:rPr>
        <w:t xml:space="preserve"> 各类用地2014年、2023年的基准地价对比表</w:t>
      </w:r>
    </w:p>
    <w:p>
      <w:pPr>
        <w:spacing w:line="400" w:lineRule="exact"/>
        <w:ind w:right="480" w:firstLine="482"/>
        <w:jc w:val="right"/>
        <w:rPr>
          <w:rFonts w:ascii="仿宋" w:hAnsi="仿宋"/>
          <w:bCs/>
          <w:sz w:val="24"/>
          <w:szCs w:val="24"/>
        </w:rPr>
      </w:pPr>
      <w:r>
        <w:rPr>
          <w:rFonts w:hint="eastAsia" w:ascii="仿宋" w:hAnsi="仿宋"/>
          <w:b/>
          <w:sz w:val="24"/>
          <w:szCs w:val="24"/>
        </w:rPr>
        <w:t xml:space="preserve">    </w:t>
      </w:r>
      <w:r>
        <w:rPr>
          <w:rFonts w:hint="eastAsia" w:ascii="仿宋" w:hAnsi="仿宋"/>
          <w:bCs/>
          <w:sz w:val="24"/>
          <w:szCs w:val="24"/>
        </w:rPr>
        <w:t>单位：</w:t>
      </w:r>
      <w:r>
        <w:rPr>
          <w:rFonts w:ascii="仿宋" w:hAnsi="仿宋"/>
          <w:bCs/>
          <w:sz w:val="24"/>
          <w:szCs w:val="24"/>
        </w:rPr>
        <w:t>元/平方米</w:t>
      </w:r>
    </w:p>
    <w:tbl>
      <w:tblPr>
        <w:tblStyle w:val="3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718"/>
        <w:gridCol w:w="936"/>
        <w:gridCol w:w="940"/>
        <w:gridCol w:w="943"/>
        <w:gridCol w:w="784"/>
        <w:gridCol w:w="940"/>
        <w:gridCol w:w="942"/>
        <w:gridCol w:w="934"/>
        <w:gridCol w:w="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tcBorders>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用途</w:t>
            </w:r>
          </w:p>
        </w:tc>
        <w:tc>
          <w:tcPr>
            <w:tcW w:w="1554" w:type="pct"/>
            <w:gridSpan w:val="3"/>
            <w:tcBorders>
              <w:left w:val="single" w:color="auto" w:sz="4" w:space="0"/>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商服用地</w:t>
            </w:r>
          </w:p>
        </w:tc>
        <w:tc>
          <w:tcPr>
            <w:tcW w:w="1469" w:type="pct"/>
            <w:gridSpan w:val="3"/>
            <w:tcBorders>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住宅用地</w:t>
            </w:r>
          </w:p>
        </w:tc>
        <w:tc>
          <w:tcPr>
            <w:tcW w:w="1031" w:type="pct"/>
            <w:gridSpan w:val="2"/>
            <w:tcBorders>
              <w:left w:val="single" w:color="auto" w:sz="4" w:space="0"/>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工业用地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vAlign w:val="center"/>
          </w:tcPr>
          <w:p>
            <w:pPr>
              <w:pStyle w:val="48"/>
              <w:widowControl w:val="0"/>
              <w:rPr>
                <w:rFonts w:ascii="仿宋" w:hAnsi="仿宋" w:cs="仿宋"/>
                <w:szCs w:val="24"/>
              </w:rPr>
            </w:pPr>
            <w:r>
              <w:rPr>
                <w:rFonts w:hint="eastAsia" w:ascii="仿宋" w:hAnsi="仿宋" w:cs="仿宋"/>
                <w:szCs w:val="24"/>
              </w:rPr>
              <w:t>级别</w:t>
            </w:r>
          </w:p>
        </w:tc>
        <w:tc>
          <w:tcPr>
            <w:tcW w:w="516" w:type="pct"/>
            <w:vAlign w:val="center"/>
          </w:tcPr>
          <w:p>
            <w:pPr>
              <w:pStyle w:val="48"/>
              <w:widowControl w:val="0"/>
              <w:rPr>
                <w:rFonts w:ascii="仿宋" w:hAnsi="仿宋" w:cs="仿宋"/>
                <w:szCs w:val="24"/>
              </w:rPr>
            </w:pPr>
            <w:r>
              <w:rPr>
                <w:rFonts w:hint="eastAsia" w:ascii="仿宋" w:hAnsi="仿宋" w:cs="仿宋"/>
                <w:szCs w:val="24"/>
              </w:rPr>
              <w:t>Ⅰ</w:t>
            </w:r>
          </w:p>
        </w:tc>
        <w:tc>
          <w:tcPr>
            <w:tcW w:w="518" w:type="pct"/>
            <w:vAlign w:val="center"/>
          </w:tcPr>
          <w:p>
            <w:pPr>
              <w:pStyle w:val="48"/>
              <w:widowControl w:val="0"/>
              <w:rPr>
                <w:rFonts w:ascii="仿宋" w:hAnsi="仿宋" w:cs="仿宋"/>
                <w:szCs w:val="24"/>
              </w:rPr>
            </w:pPr>
            <w:r>
              <w:rPr>
                <w:rFonts w:hint="eastAsia" w:ascii="仿宋" w:hAnsi="仿宋" w:cs="仿宋"/>
                <w:szCs w:val="24"/>
              </w:rPr>
              <w:t>Ⅱ</w:t>
            </w:r>
          </w:p>
        </w:tc>
        <w:tc>
          <w:tcPr>
            <w:tcW w:w="519" w:type="pct"/>
            <w:tcBorders>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Ⅲ</w:t>
            </w:r>
          </w:p>
        </w:tc>
        <w:tc>
          <w:tcPr>
            <w:tcW w:w="432" w:type="pct"/>
            <w:vAlign w:val="center"/>
          </w:tcPr>
          <w:p>
            <w:pPr>
              <w:pStyle w:val="48"/>
              <w:widowControl w:val="0"/>
              <w:rPr>
                <w:rFonts w:ascii="仿宋" w:hAnsi="仿宋" w:cs="仿宋"/>
                <w:szCs w:val="24"/>
              </w:rPr>
            </w:pPr>
            <w:r>
              <w:rPr>
                <w:rFonts w:hint="eastAsia" w:ascii="仿宋" w:hAnsi="仿宋" w:cs="仿宋"/>
                <w:szCs w:val="24"/>
              </w:rPr>
              <w:t>Ⅰ</w:t>
            </w:r>
          </w:p>
        </w:tc>
        <w:tc>
          <w:tcPr>
            <w:tcW w:w="518" w:type="pct"/>
            <w:tcBorders>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Ⅱ</w:t>
            </w:r>
          </w:p>
        </w:tc>
        <w:tc>
          <w:tcPr>
            <w:tcW w:w="519" w:type="pct"/>
            <w:tcBorders>
              <w:left w:val="single" w:color="auto" w:sz="4" w:space="0"/>
            </w:tcBorders>
            <w:vAlign w:val="center"/>
          </w:tcPr>
          <w:p>
            <w:pPr>
              <w:pStyle w:val="48"/>
              <w:widowControl w:val="0"/>
              <w:rPr>
                <w:rFonts w:ascii="仿宋" w:hAnsi="仿宋" w:cs="仿宋"/>
                <w:szCs w:val="24"/>
              </w:rPr>
            </w:pPr>
            <w:r>
              <w:rPr>
                <w:rFonts w:hint="eastAsia" w:ascii="仿宋" w:hAnsi="仿宋" w:cs="仿宋"/>
                <w:szCs w:val="24"/>
              </w:rPr>
              <w:t>Ⅲ</w:t>
            </w:r>
          </w:p>
        </w:tc>
        <w:tc>
          <w:tcPr>
            <w:tcW w:w="515" w:type="pct"/>
            <w:vAlign w:val="center"/>
          </w:tcPr>
          <w:p>
            <w:pPr>
              <w:pStyle w:val="48"/>
              <w:widowControl w:val="0"/>
              <w:rPr>
                <w:rFonts w:ascii="仿宋" w:hAnsi="仿宋" w:cs="仿宋"/>
                <w:szCs w:val="24"/>
              </w:rPr>
            </w:pPr>
            <w:r>
              <w:rPr>
                <w:rFonts w:hint="eastAsia" w:ascii="仿宋" w:hAnsi="仿宋" w:cs="仿宋"/>
                <w:szCs w:val="24"/>
              </w:rPr>
              <w:t>Ⅰ</w:t>
            </w:r>
          </w:p>
        </w:tc>
        <w:tc>
          <w:tcPr>
            <w:tcW w:w="515" w:type="pct"/>
            <w:tcBorders>
              <w:right w:val="single" w:color="auto" w:sz="4" w:space="0"/>
            </w:tcBorders>
            <w:vAlign w:val="center"/>
          </w:tcPr>
          <w:p>
            <w:pPr>
              <w:pStyle w:val="48"/>
              <w:widowControl w:val="0"/>
              <w:rPr>
                <w:rFonts w:ascii="仿宋" w:hAnsi="仿宋" w:cs="仿宋"/>
                <w:szCs w:val="24"/>
              </w:rPr>
            </w:pPr>
            <w:r>
              <w:rPr>
                <w:rFonts w:hint="eastAsia" w:ascii="仿宋" w:hAnsi="仿宋" w:cs="仿宋"/>
                <w:szCs w:val="24"/>
              </w:rPr>
              <w:t>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vAlign w:val="center"/>
          </w:tcPr>
          <w:p>
            <w:pPr>
              <w:pStyle w:val="48"/>
              <w:widowControl w:val="0"/>
              <w:rPr>
                <w:rFonts w:ascii="仿宋" w:hAnsi="仿宋" w:cs="仿宋"/>
                <w:szCs w:val="24"/>
              </w:rPr>
            </w:pPr>
            <w:r>
              <w:rPr>
                <w:rFonts w:hint="eastAsia" w:ascii="仿宋" w:hAnsi="仿宋" w:cs="仿宋"/>
                <w:szCs w:val="24"/>
              </w:rPr>
              <w:t>2</w:t>
            </w:r>
            <w:r>
              <w:rPr>
                <w:rFonts w:ascii="仿宋" w:hAnsi="仿宋" w:cs="仿宋"/>
                <w:szCs w:val="24"/>
              </w:rPr>
              <w:t>014</w:t>
            </w:r>
            <w:r>
              <w:rPr>
                <w:rFonts w:hint="eastAsia" w:ascii="仿宋" w:hAnsi="仿宋" w:cs="仿宋"/>
                <w:szCs w:val="24"/>
              </w:rPr>
              <w:t>年</w:t>
            </w:r>
          </w:p>
        </w:tc>
        <w:tc>
          <w:tcPr>
            <w:tcW w:w="516" w:type="pct"/>
            <w:vAlign w:val="center"/>
          </w:tcPr>
          <w:p>
            <w:pPr>
              <w:pStyle w:val="48"/>
              <w:widowControl w:val="0"/>
              <w:rPr>
                <w:rFonts w:ascii="Times New Roman"/>
                <w:szCs w:val="24"/>
              </w:rPr>
            </w:pPr>
            <w:r>
              <w:rPr>
                <w:rFonts w:ascii="Times New Roman"/>
                <w:szCs w:val="24"/>
              </w:rPr>
              <w:t>65</w:t>
            </w:r>
          </w:p>
        </w:tc>
        <w:tc>
          <w:tcPr>
            <w:tcW w:w="518" w:type="pct"/>
            <w:vAlign w:val="center"/>
          </w:tcPr>
          <w:p>
            <w:pPr>
              <w:pStyle w:val="48"/>
              <w:widowControl w:val="0"/>
              <w:rPr>
                <w:rFonts w:ascii="Times New Roman"/>
                <w:szCs w:val="24"/>
              </w:rPr>
            </w:pPr>
            <w:r>
              <w:rPr>
                <w:rFonts w:ascii="Times New Roman"/>
                <w:szCs w:val="24"/>
              </w:rPr>
              <w:t>55</w:t>
            </w:r>
          </w:p>
        </w:tc>
        <w:tc>
          <w:tcPr>
            <w:tcW w:w="519" w:type="pct"/>
            <w:tcBorders>
              <w:right w:val="single" w:color="auto" w:sz="4" w:space="0"/>
            </w:tcBorders>
            <w:vAlign w:val="center"/>
          </w:tcPr>
          <w:p>
            <w:pPr>
              <w:pStyle w:val="48"/>
              <w:widowControl w:val="0"/>
              <w:rPr>
                <w:rFonts w:ascii="Times New Roman"/>
                <w:kern w:val="2"/>
                <w:szCs w:val="24"/>
              </w:rPr>
            </w:pPr>
            <w:r>
              <w:rPr>
                <w:rFonts w:ascii="Times New Roman"/>
                <w:kern w:val="2"/>
                <w:szCs w:val="24"/>
              </w:rPr>
              <w:t>35</w:t>
            </w:r>
          </w:p>
        </w:tc>
        <w:tc>
          <w:tcPr>
            <w:tcW w:w="432" w:type="pct"/>
            <w:vAlign w:val="center"/>
          </w:tcPr>
          <w:p>
            <w:pPr>
              <w:pStyle w:val="48"/>
              <w:widowControl w:val="0"/>
              <w:rPr>
                <w:rFonts w:ascii="Times New Roman"/>
                <w:szCs w:val="24"/>
              </w:rPr>
            </w:pPr>
            <w:r>
              <w:rPr>
                <w:rFonts w:ascii="Times New Roman"/>
                <w:szCs w:val="24"/>
              </w:rPr>
              <w:t>40</w:t>
            </w:r>
          </w:p>
        </w:tc>
        <w:tc>
          <w:tcPr>
            <w:tcW w:w="518" w:type="pct"/>
            <w:tcBorders>
              <w:right w:val="single" w:color="auto" w:sz="4" w:space="0"/>
            </w:tcBorders>
            <w:vAlign w:val="center"/>
          </w:tcPr>
          <w:p>
            <w:pPr>
              <w:pStyle w:val="48"/>
              <w:widowControl w:val="0"/>
              <w:rPr>
                <w:rFonts w:ascii="Times New Roman"/>
                <w:szCs w:val="24"/>
              </w:rPr>
            </w:pPr>
            <w:r>
              <w:rPr>
                <w:rFonts w:ascii="Times New Roman"/>
                <w:szCs w:val="24"/>
              </w:rPr>
              <w:t>30</w:t>
            </w:r>
          </w:p>
        </w:tc>
        <w:tc>
          <w:tcPr>
            <w:tcW w:w="519" w:type="pct"/>
            <w:tcBorders>
              <w:left w:val="single" w:color="auto" w:sz="4" w:space="0"/>
            </w:tcBorders>
            <w:vAlign w:val="center"/>
          </w:tcPr>
          <w:p>
            <w:pPr>
              <w:pStyle w:val="48"/>
              <w:widowControl w:val="0"/>
              <w:rPr>
                <w:rFonts w:ascii="Times New Roman"/>
                <w:kern w:val="2"/>
                <w:szCs w:val="24"/>
              </w:rPr>
            </w:pPr>
            <w:r>
              <w:rPr>
                <w:rFonts w:ascii="Times New Roman"/>
                <w:kern w:val="2"/>
                <w:szCs w:val="24"/>
              </w:rPr>
              <w:t>20</w:t>
            </w:r>
          </w:p>
        </w:tc>
        <w:tc>
          <w:tcPr>
            <w:tcW w:w="515" w:type="pct"/>
            <w:vAlign w:val="center"/>
          </w:tcPr>
          <w:p>
            <w:pPr>
              <w:pStyle w:val="48"/>
              <w:widowControl w:val="0"/>
              <w:rPr>
                <w:rFonts w:ascii="Times New Roman"/>
                <w:szCs w:val="24"/>
              </w:rPr>
            </w:pPr>
            <w:r>
              <w:rPr>
                <w:rFonts w:ascii="Times New Roman"/>
                <w:szCs w:val="24"/>
              </w:rPr>
              <w:t>20</w:t>
            </w:r>
          </w:p>
        </w:tc>
        <w:tc>
          <w:tcPr>
            <w:tcW w:w="515" w:type="pct"/>
            <w:vAlign w:val="center"/>
          </w:tcPr>
          <w:p>
            <w:pPr>
              <w:pStyle w:val="48"/>
              <w:widowControl w:val="0"/>
              <w:rPr>
                <w:rFonts w:ascii="Times New Roman"/>
                <w:szCs w:val="24"/>
              </w:rPr>
            </w:pPr>
            <w:r>
              <w:rPr>
                <w:rFonts w:ascii="Times New Roman"/>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vAlign w:val="center"/>
          </w:tcPr>
          <w:p>
            <w:pPr>
              <w:pStyle w:val="48"/>
              <w:widowControl w:val="0"/>
              <w:rPr>
                <w:rFonts w:ascii="仿宋" w:hAnsi="仿宋" w:cs="仿宋"/>
                <w:szCs w:val="24"/>
              </w:rPr>
            </w:pPr>
            <w:r>
              <w:rPr>
                <w:rFonts w:hint="eastAsia" w:ascii="仿宋" w:hAnsi="仿宋" w:cs="仿宋"/>
                <w:szCs w:val="24"/>
              </w:rPr>
              <w:t>2</w:t>
            </w:r>
            <w:r>
              <w:rPr>
                <w:rFonts w:ascii="仿宋" w:hAnsi="仿宋" w:cs="仿宋"/>
                <w:szCs w:val="24"/>
              </w:rPr>
              <w:t>014</w:t>
            </w:r>
            <w:r>
              <w:rPr>
                <w:rFonts w:hint="eastAsia" w:ascii="仿宋" w:hAnsi="仿宋" w:cs="仿宋"/>
                <w:szCs w:val="24"/>
              </w:rPr>
              <w:t>年修正</w:t>
            </w:r>
          </w:p>
        </w:tc>
        <w:tc>
          <w:tcPr>
            <w:tcW w:w="516" w:type="pct"/>
            <w:vAlign w:val="center"/>
          </w:tcPr>
          <w:p>
            <w:pPr>
              <w:pStyle w:val="48"/>
              <w:widowControl w:val="0"/>
              <w:rPr>
                <w:rFonts w:ascii="Times New Roman"/>
                <w:szCs w:val="24"/>
              </w:rPr>
            </w:pPr>
            <w:r>
              <w:rPr>
                <w:rFonts w:ascii="Times New Roman"/>
                <w:szCs w:val="24"/>
              </w:rPr>
              <w:t>158</w:t>
            </w:r>
          </w:p>
        </w:tc>
        <w:tc>
          <w:tcPr>
            <w:tcW w:w="518" w:type="pct"/>
            <w:vAlign w:val="center"/>
          </w:tcPr>
          <w:p>
            <w:pPr>
              <w:pStyle w:val="48"/>
              <w:widowControl w:val="0"/>
              <w:rPr>
                <w:rFonts w:ascii="Times New Roman"/>
                <w:szCs w:val="24"/>
              </w:rPr>
            </w:pPr>
            <w:r>
              <w:rPr>
                <w:rFonts w:ascii="Times New Roman"/>
                <w:szCs w:val="24"/>
              </w:rPr>
              <w:t>135</w:t>
            </w:r>
          </w:p>
        </w:tc>
        <w:tc>
          <w:tcPr>
            <w:tcW w:w="519" w:type="pct"/>
            <w:tcBorders>
              <w:right w:val="single" w:color="auto" w:sz="4" w:space="0"/>
            </w:tcBorders>
            <w:vAlign w:val="center"/>
          </w:tcPr>
          <w:p>
            <w:pPr>
              <w:pStyle w:val="48"/>
              <w:widowControl w:val="0"/>
              <w:rPr>
                <w:rFonts w:ascii="Times New Roman"/>
                <w:kern w:val="2"/>
                <w:szCs w:val="24"/>
              </w:rPr>
            </w:pPr>
            <w:r>
              <w:rPr>
                <w:rFonts w:ascii="Times New Roman"/>
                <w:kern w:val="2"/>
                <w:szCs w:val="24"/>
              </w:rPr>
              <w:t>89</w:t>
            </w:r>
          </w:p>
        </w:tc>
        <w:tc>
          <w:tcPr>
            <w:tcW w:w="432" w:type="pct"/>
            <w:vAlign w:val="center"/>
          </w:tcPr>
          <w:p>
            <w:pPr>
              <w:pStyle w:val="48"/>
              <w:widowControl w:val="0"/>
              <w:rPr>
                <w:rFonts w:ascii="Times New Roman"/>
                <w:szCs w:val="24"/>
              </w:rPr>
            </w:pPr>
            <w:r>
              <w:rPr>
                <w:rFonts w:ascii="Times New Roman"/>
                <w:szCs w:val="24"/>
              </w:rPr>
              <w:t>111</w:t>
            </w:r>
          </w:p>
        </w:tc>
        <w:tc>
          <w:tcPr>
            <w:tcW w:w="518" w:type="pct"/>
            <w:tcBorders>
              <w:right w:val="single" w:color="auto" w:sz="4" w:space="0"/>
            </w:tcBorders>
            <w:vAlign w:val="center"/>
          </w:tcPr>
          <w:p>
            <w:pPr>
              <w:pStyle w:val="48"/>
              <w:widowControl w:val="0"/>
              <w:rPr>
                <w:rFonts w:ascii="Times New Roman"/>
                <w:szCs w:val="24"/>
              </w:rPr>
            </w:pPr>
            <w:r>
              <w:rPr>
                <w:rFonts w:ascii="Times New Roman"/>
                <w:szCs w:val="24"/>
              </w:rPr>
              <w:t>86</w:t>
            </w:r>
          </w:p>
        </w:tc>
        <w:tc>
          <w:tcPr>
            <w:tcW w:w="519" w:type="pct"/>
            <w:tcBorders>
              <w:left w:val="single" w:color="auto" w:sz="4" w:space="0"/>
            </w:tcBorders>
            <w:vAlign w:val="center"/>
          </w:tcPr>
          <w:p>
            <w:pPr>
              <w:pStyle w:val="48"/>
              <w:widowControl w:val="0"/>
              <w:rPr>
                <w:rFonts w:ascii="Times New Roman"/>
                <w:kern w:val="2"/>
                <w:szCs w:val="24"/>
              </w:rPr>
            </w:pPr>
            <w:r>
              <w:rPr>
                <w:rFonts w:ascii="Times New Roman"/>
                <w:kern w:val="2"/>
                <w:szCs w:val="24"/>
              </w:rPr>
              <w:t>61</w:t>
            </w:r>
          </w:p>
        </w:tc>
        <w:tc>
          <w:tcPr>
            <w:tcW w:w="515" w:type="pct"/>
            <w:vAlign w:val="center"/>
          </w:tcPr>
          <w:p>
            <w:pPr>
              <w:pStyle w:val="48"/>
              <w:widowControl w:val="0"/>
              <w:rPr>
                <w:rFonts w:ascii="Times New Roman"/>
                <w:szCs w:val="24"/>
              </w:rPr>
            </w:pPr>
            <w:r>
              <w:rPr>
                <w:rFonts w:ascii="Times New Roman"/>
                <w:szCs w:val="24"/>
              </w:rPr>
              <w:t>56</w:t>
            </w:r>
          </w:p>
        </w:tc>
        <w:tc>
          <w:tcPr>
            <w:tcW w:w="515" w:type="pct"/>
            <w:vAlign w:val="center"/>
          </w:tcPr>
          <w:p>
            <w:pPr>
              <w:pStyle w:val="48"/>
              <w:widowControl w:val="0"/>
              <w:rPr>
                <w:rFonts w:ascii="Times New Roman"/>
                <w:szCs w:val="24"/>
              </w:rPr>
            </w:pPr>
            <w:r>
              <w:rPr>
                <w:rFonts w:ascii="Times New Roman"/>
                <w:szCs w:val="24"/>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vAlign w:val="center"/>
          </w:tcPr>
          <w:p>
            <w:pPr>
              <w:pStyle w:val="48"/>
              <w:widowControl w:val="0"/>
              <w:rPr>
                <w:rFonts w:ascii="仿宋" w:hAnsi="仿宋" w:cs="仿宋"/>
                <w:szCs w:val="24"/>
              </w:rPr>
            </w:pPr>
            <w:r>
              <w:rPr>
                <w:rFonts w:hint="eastAsia" w:ascii="仿宋" w:hAnsi="仿宋" w:cs="仿宋"/>
                <w:szCs w:val="24"/>
              </w:rPr>
              <w:t>20</w:t>
            </w:r>
            <w:r>
              <w:rPr>
                <w:rFonts w:ascii="仿宋" w:hAnsi="仿宋" w:cs="仿宋"/>
                <w:szCs w:val="24"/>
              </w:rPr>
              <w:t>23</w:t>
            </w:r>
          </w:p>
        </w:tc>
        <w:tc>
          <w:tcPr>
            <w:tcW w:w="516" w:type="pct"/>
            <w:vAlign w:val="center"/>
          </w:tcPr>
          <w:p>
            <w:pPr>
              <w:pStyle w:val="48"/>
              <w:widowControl w:val="0"/>
              <w:rPr>
                <w:rFonts w:ascii="Times New Roman"/>
                <w:szCs w:val="24"/>
              </w:rPr>
            </w:pPr>
            <w:r>
              <w:rPr>
                <w:rFonts w:ascii="Times New Roman"/>
                <w:szCs w:val="24"/>
              </w:rPr>
              <w:t>170</w:t>
            </w:r>
          </w:p>
        </w:tc>
        <w:tc>
          <w:tcPr>
            <w:tcW w:w="518" w:type="pct"/>
            <w:vAlign w:val="center"/>
          </w:tcPr>
          <w:p>
            <w:pPr>
              <w:pStyle w:val="48"/>
              <w:widowControl w:val="0"/>
              <w:rPr>
                <w:rFonts w:ascii="Times New Roman"/>
                <w:szCs w:val="24"/>
              </w:rPr>
            </w:pPr>
            <w:r>
              <w:rPr>
                <w:rFonts w:ascii="Times New Roman"/>
                <w:szCs w:val="24"/>
              </w:rPr>
              <w:t>145</w:t>
            </w:r>
          </w:p>
        </w:tc>
        <w:tc>
          <w:tcPr>
            <w:tcW w:w="519" w:type="pct"/>
            <w:tcBorders>
              <w:right w:val="single" w:color="auto" w:sz="4" w:space="0"/>
            </w:tcBorders>
            <w:vAlign w:val="center"/>
          </w:tcPr>
          <w:p>
            <w:pPr>
              <w:pStyle w:val="48"/>
              <w:widowControl w:val="0"/>
              <w:rPr>
                <w:rFonts w:ascii="Times New Roman"/>
                <w:szCs w:val="24"/>
              </w:rPr>
            </w:pPr>
            <w:r>
              <w:rPr>
                <w:rFonts w:ascii="Times New Roman"/>
                <w:szCs w:val="24"/>
              </w:rPr>
              <w:t>125</w:t>
            </w:r>
          </w:p>
        </w:tc>
        <w:tc>
          <w:tcPr>
            <w:tcW w:w="432" w:type="pct"/>
            <w:vAlign w:val="center"/>
          </w:tcPr>
          <w:p>
            <w:pPr>
              <w:pStyle w:val="48"/>
              <w:widowControl w:val="0"/>
              <w:rPr>
                <w:rFonts w:ascii="Times New Roman"/>
                <w:szCs w:val="24"/>
              </w:rPr>
            </w:pPr>
            <w:r>
              <w:rPr>
                <w:rFonts w:ascii="Times New Roman"/>
                <w:szCs w:val="24"/>
              </w:rPr>
              <w:t>150</w:t>
            </w:r>
          </w:p>
        </w:tc>
        <w:tc>
          <w:tcPr>
            <w:tcW w:w="518" w:type="pct"/>
            <w:tcBorders>
              <w:right w:val="single" w:color="auto" w:sz="4" w:space="0"/>
            </w:tcBorders>
            <w:vAlign w:val="center"/>
          </w:tcPr>
          <w:p>
            <w:pPr>
              <w:pStyle w:val="48"/>
              <w:widowControl w:val="0"/>
              <w:rPr>
                <w:rFonts w:ascii="Times New Roman"/>
                <w:szCs w:val="24"/>
              </w:rPr>
            </w:pPr>
            <w:r>
              <w:rPr>
                <w:rFonts w:ascii="Times New Roman"/>
                <w:szCs w:val="24"/>
              </w:rPr>
              <w:t>125</w:t>
            </w:r>
          </w:p>
        </w:tc>
        <w:tc>
          <w:tcPr>
            <w:tcW w:w="519" w:type="pct"/>
            <w:tcBorders>
              <w:left w:val="single" w:color="auto" w:sz="4" w:space="0"/>
            </w:tcBorders>
            <w:vAlign w:val="center"/>
          </w:tcPr>
          <w:p>
            <w:pPr>
              <w:pStyle w:val="48"/>
              <w:widowControl w:val="0"/>
              <w:rPr>
                <w:rFonts w:ascii="Times New Roman"/>
                <w:szCs w:val="24"/>
              </w:rPr>
            </w:pPr>
            <w:r>
              <w:rPr>
                <w:rFonts w:ascii="Times New Roman"/>
                <w:szCs w:val="24"/>
              </w:rPr>
              <w:t>95</w:t>
            </w:r>
          </w:p>
        </w:tc>
        <w:tc>
          <w:tcPr>
            <w:tcW w:w="515" w:type="pct"/>
            <w:vAlign w:val="center"/>
          </w:tcPr>
          <w:p>
            <w:pPr>
              <w:pStyle w:val="48"/>
              <w:widowControl w:val="0"/>
              <w:rPr>
                <w:rFonts w:ascii="Times New Roman"/>
                <w:szCs w:val="24"/>
              </w:rPr>
            </w:pPr>
            <w:r>
              <w:rPr>
                <w:rFonts w:ascii="Times New Roman"/>
                <w:szCs w:val="24"/>
              </w:rPr>
              <w:t>95</w:t>
            </w:r>
          </w:p>
        </w:tc>
        <w:tc>
          <w:tcPr>
            <w:tcW w:w="515" w:type="pct"/>
            <w:vAlign w:val="center"/>
          </w:tcPr>
          <w:p>
            <w:pPr>
              <w:pStyle w:val="48"/>
              <w:widowControl w:val="0"/>
              <w:rPr>
                <w:rFonts w:ascii="Times New Roman"/>
                <w:szCs w:val="24"/>
              </w:rPr>
            </w:pPr>
            <w:r>
              <w:rPr>
                <w:rFonts w:ascii="Times New Roman"/>
                <w:szCs w:val="24"/>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3" w:hRule="atLeast"/>
          <w:jc w:val="center"/>
        </w:trPr>
        <w:tc>
          <w:tcPr>
            <w:tcW w:w="947" w:type="pct"/>
            <w:vAlign w:val="center"/>
          </w:tcPr>
          <w:p>
            <w:pPr>
              <w:pStyle w:val="48"/>
              <w:widowControl w:val="0"/>
              <w:rPr>
                <w:rFonts w:ascii="仿宋" w:hAnsi="仿宋" w:cs="仿宋"/>
                <w:szCs w:val="24"/>
              </w:rPr>
            </w:pPr>
            <w:r>
              <w:rPr>
                <w:rFonts w:hint="eastAsia" w:ascii="仿宋" w:hAnsi="仿宋" w:cs="仿宋"/>
                <w:szCs w:val="24"/>
              </w:rPr>
              <w:t>增长率</w:t>
            </w:r>
          </w:p>
        </w:tc>
        <w:tc>
          <w:tcPr>
            <w:tcW w:w="516" w:type="pct"/>
            <w:vAlign w:val="bottom"/>
          </w:tcPr>
          <w:p>
            <w:pPr>
              <w:pStyle w:val="48"/>
              <w:widowControl w:val="0"/>
              <w:rPr>
                <w:rFonts w:ascii="Times New Roman"/>
                <w:szCs w:val="24"/>
              </w:rPr>
            </w:pPr>
            <w:r>
              <w:rPr>
                <w:rFonts w:ascii="Times New Roman" w:eastAsia="等线"/>
                <w:szCs w:val="24"/>
              </w:rPr>
              <w:t>7.38%</w:t>
            </w:r>
          </w:p>
        </w:tc>
        <w:tc>
          <w:tcPr>
            <w:tcW w:w="518" w:type="pct"/>
            <w:vAlign w:val="bottom"/>
          </w:tcPr>
          <w:p>
            <w:pPr>
              <w:pStyle w:val="48"/>
              <w:widowControl w:val="0"/>
              <w:rPr>
                <w:rFonts w:ascii="Times New Roman"/>
                <w:szCs w:val="24"/>
              </w:rPr>
            </w:pPr>
            <w:r>
              <w:rPr>
                <w:rFonts w:ascii="Times New Roman" w:eastAsia="等线"/>
                <w:szCs w:val="24"/>
              </w:rPr>
              <w:t>7.25%</w:t>
            </w:r>
          </w:p>
        </w:tc>
        <w:tc>
          <w:tcPr>
            <w:tcW w:w="519" w:type="pct"/>
            <w:tcBorders>
              <w:right w:val="single" w:color="auto" w:sz="4" w:space="0"/>
            </w:tcBorders>
            <w:vAlign w:val="bottom"/>
          </w:tcPr>
          <w:p>
            <w:pPr>
              <w:pStyle w:val="48"/>
              <w:widowControl w:val="0"/>
              <w:rPr>
                <w:rFonts w:ascii="Times New Roman"/>
                <w:kern w:val="2"/>
                <w:szCs w:val="24"/>
              </w:rPr>
            </w:pPr>
            <w:r>
              <w:rPr>
                <w:rFonts w:ascii="Times New Roman" w:eastAsia="等线"/>
                <w:szCs w:val="24"/>
              </w:rPr>
              <w:t>40.54%</w:t>
            </w:r>
          </w:p>
        </w:tc>
        <w:tc>
          <w:tcPr>
            <w:tcW w:w="432" w:type="pct"/>
            <w:vAlign w:val="bottom"/>
          </w:tcPr>
          <w:p>
            <w:pPr>
              <w:pStyle w:val="48"/>
              <w:widowControl w:val="0"/>
              <w:rPr>
                <w:rFonts w:ascii="Times New Roman"/>
                <w:szCs w:val="24"/>
              </w:rPr>
            </w:pPr>
            <w:r>
              <w:rPr>
                <w:rFonts w:ascii="Times New Roman" w:eastAsia="等线"/>
                <w:szCs w:val="24"/>
              </w:rPr>
              <w:t>34.78%</w:t>
            </w:r>
          </w:p>
        </w:tc>
        <w:tc>
          <w:tcPr>
            <w:tcW w:w="518" w:type="pct"/>
            <w:tcBorders>
              <w:right w:val="single" w:color="auto" w:sz="4" w:space="0"/>
            </w:tcBorders>
            <w:vAlign w:val="bottom"/>
          </w:tcPr>
          <w:p>
            <w:pPr>
              <w:pStyle w:val="48"/>
              <w:widowControl w:val="0"/>
              <w:rPr>
                <w:rFonts w:ascii="Times New Roman"/>
                <w:szCs w:val="24"/>
              </w:rPr>
            </w:pPr>
            <w:r>
              <w:rPr>
                <w:rFonts w:ascii="Times New Roman" w:eastAsia="等线"/>
                <w:szCs w:val="24"/>
              </w:rPr>
              <w:t>45.40%</w:t>
            </w:r>
          </w:p>
        </w:tc>
        <w:tc>
          <w:tcPr>
            <w:tcW w:w="519" w:type="pct"/>
            <w:tcBorders>
              <w:left w:val="single" w:color="auto" w:sz="4" w:space="0"/>
            </w:tcBorders>
            <w:vAlign w:val="bottom"/>
          </w:tcPr>
          <w:p>
            <w:pPr>
              <w:pStyle w:val="48"/>
              <w:widowControl w:val="0"/>
              <w:rPr>
                <w:rFonts w:ascii="Times New Roman"/>
                <w:kern w:val="2"/>
                <w:szCs w:val="24"/>
              </w:rPr>
            </w:pPr>
            <w:r>
              <w:rPr>
                <w:rFonts w:ascii="Times New Roman" w:eastAsia="等线"/>
                <w:szCs w:val="24"/>
              </w:rPr>
              <w:t>56.65%</w:t>
            </w:r>
          </w:p>
        </w:tc>
        <w:tc>
          <w:tcPr>
            <w:tcW w:w="515" w:type="pct"/>
            <w:vAlign w:val="bottom"/>
          </w:tcPr>
          <w:p>
            <w:pPr>
              <w:pStyle w:val="48"/>
              <w:widowControl w:val="0"/>
              <w:rPr>
                <w:rFonts w:ascii="Times New Roman"/>
                <w:szCs w:val="24"/>
              </w:rPr>
            </w:pPr>
            <w:r>
              <w:rPr>
                <w:rFonts w:ascii="Times New Roman" w:eastAsia="等线"/>
                <w:szCs w:val="24"/>
              </w:rPr>
              <w:t>69.81%</w:t>
            </w:r>
          </w:p>
        </w:tc>
        <w:tc>
          <w:tcPr>
            <w:tcW w:w="515" w:type="pct"/>
            <w:vAlign w:val="bottom"/>
          </w:tcPr>
          <w:p>
            <w:pPr>
              <w:pStyle w:val="48"/>
              <w:widowControl w:val="0"/>
              <w:rPr>
                <w:rFonts w:ascii="Times New Roman"/>
                <w:szCs w:val="24"/>
              </w:rPr>
            </w:pPr>
            <w:r>
              <w:rPr>
                <w:rFonts w:ascii="Times New Roman" w:eastAsia="等线"/>
                <w:szCs w:val="24"/>
              </w:rPr>
              <w:t>91.19%</w:t>
            </w:r>
          </w:p>
        </w:tc>
      </w:tr>
    </w:tbl>
    <w:p>
      <w:pPr>
        <w:spacing w:after="93" w:afterLines="30"/>
        <w:ind w:firstLine="560"/>
        <w:rPr>
          <w:rFonts w:ascii="仿宋" w:hAnsi="仿宋"/>
          <w:szCs w:val="28"/>
        </w:rPr>
      </w:pPr>
      <w:r>
        <w:rPr>
          <w:rFonts w:hint="eastAsia" w:ascii="仿宋" w:hAnsi="仿宋"/>
          <w:szCs w:val="28"/>
        </w:rPr>
        <w:t>通过对比可以看出，商服、住宅、工业用地地价均有上涨；各种地类地价涨幅较大。</w:t>
      </w:r>
    </w:p>
    <w:p>
      <w:pPr>
        <w:spacing w:after="93" w:afterLines="30"/>
        <w:ind w:firstLine="560"/>
        <w:rPr>
          <w:rFonts w:ascii="仿宋" w:hAnsi="仿宋"/>
          <w:szCs w:val="28"/>
        </w:rPr>
      </w:pPr>
      <w:r>
        <w:rPr>
          <w:rFonts w:hint="eastAsia" w:ascii="仿宋" w:hAnsi="仿宋"/>
          <w:szCs w:val="28"/>
        </w:rPr>
        <w:t>基准地价上涨的原因主要有：</w:t>
      </w:r>
    </w:p>
    <w:p>
      <w:pPr>
        <w:spacing w:after="93" w:afterLines="30"/>
        <w:ind w:firstLine="560"/>
        <w:rPr>
          <w:rFonts w:ascii="仿宋" w:hAnsi="仿宋"/>
          <w:szCs w:val="28"/>
        </w:rPr>
      </w:pPr>
      <w:r>
        <w:rPr>
          <w:rFonts w:hint="eastAsia" w:ascii="仿宋" w:hAnsi="仿宋"/>
          <w:szCs w:val="28"/>
        </w:rPr>
        <w:t>（1）近年来，随着头道桥镇社会经济的发展，带动了地价水平的上涨；</w:t>
      </w:r>
    </w:p>
    <w:p>
      <w:pPr>
        <w:spacing w:after="93" w:afterLines="30"/>
        <w:ind w:firstLine="560"/>
        <w:rPr>
          <w:rFonts w:ascii="仿宋" w:hAnsi="仿宋"/>
          <w:szCs w:val="28"/>
        </w:rPr>
      </w:pPr>
      <w:r>
        <w:rPr>
          <w:rFonts w:hint="eastAsia" w:ascii="仿宋" w:hAnsi="仿宋"/>
          <w:szCs w:val="28"/>
        </w:rPr>
        <w:t>（2）近年来，随着头道桥镇基础配套设施的改善，致使土地熟化程度提高，土地区位条件得到了优化，从而带动了地价水平的上涨；</w:t>
      </w:r>
    </w:p>
    <w:p>
      <w:pPr>
        <w:spacing w:after="93" w:afterLines="30"/>
        <w:ind w:firstLine="560"/>
        <w:rPr>
          <w:rFonts w:ascii="仿宋" w:hAnsi="仿宋"/>
          <w:szCs w:val="28"/>
        </w:rPr>
      </w:pPr>
      <w:r>
        <w:rPr>
          <w:rFonts w:hint="eastAsia" w:ascii="仿宋" w:hAnsi="仿宋"/>
          <w:szCs w:val="28"/>
        </w:rPr>
        <w:t>（3）城镇规划调整，使得土地利用强度增大，从而带动了地价的上涨；</w:t>
      </w:r>
    </w:p>
    <w:p>
      <w:pPr>
        <w:spacing w:after="93" w:afterLines="30"/>
        <w:ind w:firstLine="560"/>
        <w:rPr>
          <w:rFonts w:ascii="仿宋" w:hAnsi="仿宋"/>
          <w:szCs w:val="28"/>
        </w:rPr>
      </w:pPr>
      <w:r>
        <w:rPr>
          <w:rFonts w:hint="eastAsia" w:ascii="仿宋" w:hAnsi="仿宋"/>
          <w:szCs w:val="28"/>
        </w:rPr>
        <w:t>（4）征地及拆迁成本的上涨，增大了取得土地的成本，从而导致地价水平的上涨。</w:t>
      </w:r>
    </w:p>
    <w:p>
      <w:pPr>
        <w:spacing w:after="93" w:afterLines="30"/>
        <w:ind w:firstLine="560"/>
        <w:rPr>
          <w:rFonts w:ascii="仿宋" w:hAnsi="仿宋"/>
          <w:szCs w:val="28"/>
        </w:rPr>
      </w:pPr>
      <w:r>
        <w:rPr>
          <w:rFonts w:hint="eastAsia" w:ascii="仿宋" w:hAnsi="仿宋"/>
          <w:szCs w:val="28"/>
        </w:rPr>
        <w:t>（5）各类用地的开发程度内涵不一致，故本次评估各类用地地价增长率涨幅较大。</w:t>
      </w:r>
    </w:p>
    <w:p>
      <w:pPr>
        <w:spacing w:before="156" w:beforeLines="50" w:after="156" w:afterLines="50"/>
        <w:ind w:firstLine="640"/>
        <w:jc w:val="both"/>
        <w:outlineLvl w:val="0"/>
        <w:rPr>
          <w:rFonts w:ascii="黑体" w:hAnsi="黑体" w:eastAsia="黑体" w:cs="黑体"/>
          <w:sz w:val="32"/>
          <w:szCs w:val="32"/>
        </w:rPr>
        <w:sectPr>
          <w:pgSz w:w="11849" w:h="16781"/>
          <w:pgMar w:top="1417" w:right="1417" w:bottom="1304" w:left="1417" w:header="851" w:footer="992" w:gutter="0"/>
          <w:cols w:space="720" w:num="1"/>
          <w:docGrid w:type="lines" w:linePitch="312" w:charSpace="0"/>
        </w:sectPr>
      </w:pPr>
    </w:p>
    <w:p>
      <w:pPr>
        <w:pStyle w:val="20"/>
        <w:spacing w:before="312" w:beforeLines="100" w:after="312" w:afterLines="100"/>
        <w:ind w:firstLine="0" w:firstLineChars="0"/>
        <w:jc w:val="both"/>
        <w:outlineLvl w:val="0"/>
        <w:rPr>
          <w:rFonts w:ascii="黑体" w:hAnsi="黑体" w:eastAsia="黑体" w:cs="黑体"/>
          <w:sz w:val="32"/>
          <w:szCs w:val="32"/>
          <w:u w:color="000000"/>
        </w:rPr>
      </w:pPr>
      <w:bookmarkStart w:id="55" w:name="_Toc143875236"/>
      <w:r>
        <w:rPr>
          <w:rFonts w:hint="eastAsia" w:ascii="黑体" w:hAnsi="黑体" w:eastAsia="黑体" w:cs="黑体"/>
          <w:sz w:val="32"/>
          <w:szCs w:val="32"/>
          <w:u w:color="000000"/>
        </w:rPr>
        <w:t>四、杭锦后旗头道桥镇公共服务项目用地基准地价评估</w:t>
      </w:r>
      <w:bookmarkEnd w:id="41"/>
      <w:bookmarkEnd w:id="42"/>
      <w:bookmarkEnd w:id="55"/>
    </w:p>
    <w:p>
      <w:pPr>
        <w:ind w:firstLine="560"/>
        <w:jc w:val="both"/>
        <w:rPr>
          <w:rFonts w:ascii="仿宋" w:hAnsi="仿宋" w:eastAsia="仿宋" w:cs="仿宋"/>
          <w:szCs w:val="28"/>
        </w:rPr>
      </w:pPr>
      <w:r>
        <w:rPr>
          <w:rFonts w:hint="eastAsia" w:ascii="仿宋" w:hAnsi="仿宋" w:eastAsia="仿宋" w:cs="仿宋"/>
          <w:szCs w:val="28"/>
        </w:rPr>
        <w:t>公共服务项目用地是指承载集体福利或者社会公共利益用途的城镇各类用地的总称。它是保证城镇存在和发展不可或缺的物质载体，担负着承载城镇各种活动，为社会利益服务，包含促进社会平等、增进公众福利和引导城市可持续发展的多重目标。</w:t>
      </w:r>
    </w:p>
    <w:p>
      <w:pPr>
        <w:ind w:firstLine="560"/>
        <w:jc w:val="both"/>
        <w:rPr>
          <w:rFonts w:ascii="仿宋" w:hAnsi="仿宋" w:eastAsia="仿宋" w:cs="仿宋"/>
          <w:szCs w:val="28"/>
        </w:rPr>
      </w:pPr>
      <w:r>
        <w:rPr>
          <w:rFonts w:hint="eastAsia" w:ascii="仿宋" w:hAnsi="仿宋" w:eastAsia="仿宋" w:cs="仿宋"/>
          <w:szCs w:val="28"/>
        </w:rPr>
        <w:t>根据《关于扩大国有土地有偿使用范围的意见》（国土资规〔2016〕20号）、《国土资源部办公厅关于加强公示地价体系建设和管理有关问题的通知》（国土资厅发﹝2017﹞27号）、《关于贯彻落实&lt;内蒙</w:t>
      </w:r>
      <w:r>
        <w:rPr>
          <w:rFonts w:hint="eastAsia" w:ascii="仿宋" w:hAnsi="仿宋" w:eastAsia="仿宋" w:cs="仿宋"/>
          <w:szCs w:val="28"/>
          <w:lang w:eastAsia="zh-CN"/>
        </w:rPr>
        <w:t>古</w:t>
      </w:r>
      <w:r>
        <w:rPr>
          <w:rFonts w:hint="eastAsia" w:ascii="仿宋" w:hAnsi="仿宋" w:eastAsia="仿宋" w:cs="仿宋"/>
          <w:szCs w:val="28"/>
        </w:rPr>
        <w:t>自治区人民政府关于全面推进土地资源节约集约利用的指导意见&gt;的实施意见》（内国土资发〔2017〕87号）和《关于贯彻落实〈关于扩大国有土地有偿使用范围的意见〉的实施意见》（内国土资字〔2017〕346号）文件要求，杭锦后旗依据当地土地取得成本、市场供需、产业政策和其他用途基准地价等，制定公共服务项目用地基准地价。</w:t>
      </w:r>
    </w:p>
    <w:p>
      <w:pPr>
        <w:ind w:firstLine="560"/>
        <w:jc w:val="both"/>
        <w:rPr>
          <w:rFonts w:ascii="仿宋" w:hAnsi="仿宋" w:eastAsia="仿宋" w:cs="仿宋"/>
          <w:szCs w:val="28"/>
        </w:rPr>
      </w:pPr>
      <w:r>
        <w:rPr>
          <w:rFonts w:hint="eastAsia" w:ascii="仿宋" w:hAnsi="仿宋" w:eastAsia="仿宋" w:cs="仿宋"/>
          <w:szCs w:val="28"/>
        </w:rPr>
        <w:t>公共服务项目用地评估的范围具体包括：可以使用划拨土地的能源、环境保护、保障性安居工程、养老、教育、文化、体育及供水、燃气供应、供热设施等项目。</w:t>
      </w:r>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56" w:name="_Toc15872"/>
      <w:bookmarkStart w:id="57" w:name="_Toc31856"/>
      <w:bookmarkStart w:id="58" w:name="_Toc143875237"/>
      <w:r>
        <w:rPr>
          <w:rFonts w:hint="eastAsia" w:ascii="仿宋" w:hAnsi="仿宋" w:eastAsia="仿宋"/>
          <w:b/>
          <w:bCs/>
          <w:color w:val="000000"/>
          <w:kern w:val="0"/>
          <w:sz w:val="30"/>
          <w:szCs w:val="30"/>
          <w:u w:color="000000"/>
        </w:rPr>
        <w:t>（一）公共服务项目用地级别的划定</w:t>
      </w:r>
      <w:bookmarkEnd w:id="56"/>
      <w:bookmarkEnd w:id="57"/>
      <w:bookmarkEnd w:id="58"/>
    </w:p>
    <w:p>
      <w:pPr>
        <w:ind w:firstLine="560"/>
        <w:jc w:val="both"/>
        <w:rPr>
          <w:rFonts w:ascii="仿宋" w:hAnsi="仿宋" w:eastAsia="仿宋" w:cs="仿宋"/>
          <w:szCs w:val="28"/>
        </w:rPr>
      </w:pPr>
      <w:r>
        <w:rPr>
          <w:rFonts w:hint="eastAsia" w:ascii="仿宋" w:hAnsi="仿宋" w:eastAsia="仿宋" w:cs="仿宋"/>
          <w:szCs w:val="28"/>
        </w:rPr>
        <w:t>将公共服务用地项目分为两个部分，一部分直接采用工业用地定级成果，包括能源、环境保护、供水、燃气供应、供热设施；另</w:t>
      </w:r>
      <w:bookmarkStart w:id="121" w:name="_GoBack"/>
      <w:bookmarkEnd w:id="121"/>
      <w:r>
        <w:rPr>
          <w:rFonts w:hint="eastAsia" w:ascii="仿宋" w:hAnsi="仿宋" w:eastAsia="仿宋" w:cs="仿宋"/>
          <w:szCs w:val="28"/>
        </w:rPr>
        <w:t>一部分直接采用住宅用地定级成果，包括保障性安居工程、养老、教育、文化和体育用地。在估价过程中可以直接采用参考用途基准地价的参数，也可以在参考用途基准地价的基础上根据实际情况进行适当调整。</w:t>
      </w:r>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59" w:name="_Toc31143"/>
      <w:bookmarkStart w:id="60" w:name="_Toc17708"/>
      <w:bookmarkStart w:id="61" w:name="_Toc143875238"/>
      <w:r>
        <w:rPr>
          <w:rFonts w:hint="eastAsia" w:ascii="仿宋" w:hAnsi="仿宋" w:eastAsia="仿宋"/>
          <w:b/>
          <w:bCs/>
          <w:color w:val="000000"/>
          <w:kern w:val="0"/>
          <w:sz w:val="30"/>
          <w:szCs w:val="30"/>
          <w:u w:color="000000"/>
        </w:rPr>
        <w:t>（二）公共服务项目用地基准地价内涵</w:t>
      </w:r>
      <w:bookmarkEnd w:id="59"/>
      <w:bookmarkEnd w:id="60"/>
      <w:bookmarkEnd w:id="61"/>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2、土地使用年期：公共服务项目用地50年（保障性安居工程用地70年）。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3、容积率：保障性安居工程、养老、教育、文化和体育用地等公共服务项目用地设定为1.</w:t>
      </w:r>
      <w:r>
        <w:rPr>
          <w:rFonts w:ascii="仿宋" w:hAnsi="仿宋" w:eastAsia="仿宋" w:cs="仿宋"/>
          <w:color w:val="000000"/>
          <w:kern w:val="0"/>
          <w:szCs w:val="28"/>
          <w:u w:color="000000"/>
        </w:rPr>
        <w:t>0</w:t>
      </w:r>
      <w:r>
        <w:rPr>
          <w:rFonts w:hint="eastAsia" w:ascii="仿宋" w:hAnsi="仿宋" w:eastAsia="仿宋" w:cs="仿宋"/>
          <w:color w:val="000000"/>
          <w:kern w:val="0"/>
          <w:szCs w:val="28"/>
          <w:u w:color="000000"/>
        </w:rPr>
        <w:t>；能源、环境保护、供水、燃气供应、供热设施等公共服务项目用地设定为0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开发程度：保障性安居工程、养老、教育、文化和体育用地、能源、环境保护、供水、燃气供应、供热设施等公共服务项目用地“五通一平”（宗地红线外通路、通电、通讯、通上水、通下水和宗地内场地平整）。</w:t>
      </w:r>
    </w:p>
    <w:p>
      <w:pPr>
        <w:ind w:firstLine="560"/>
        <w:jc w:val="both"/>
        <w:rPr>
          <w:rFonts w:ascii="仿宋" w:hAnsi="仿宋" w:eastAsia="仿宋" w:cs="仿宋"/>
          <w:szCs w:val="28"/>
        </w:rPr>
      </w:pPr>
      <w:r>
        <w:rPr>
          <w:rFonts w:hint="eastAsia" w:ascii="仿宋" w:hAnsi="仿宋" w:eastAsia="仿宋" w:cs="仿宋"/>
          <w:color w:val="000000"/>
          <w:kern w:val="0"/>
          <w:szCs w:val="28"/>
          <w:u w:color="000000"/>
        </w:rPr>
        <w:t>5、权利状况：国有出让土地使用权，无他项权利限制。</w:t>
      </w:r>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62" w:name="_Toc32328"/>
      <w:bookmarkStart w:id="63" w:name="_Toc9092"/>
      <w:bookmarkStart w:id="64" w:name="_Toc143875239"/>
      <w:r>
        <w:rPr>
          <w:rFonts w:hint="eastAsia" w:ascii="仿宋" w:hAnsi="仿宋" w:eastAsia="仿宋"/>
          <w:b/>
          <w:bCs/>
          <w:color w:val="000000"/>
          <w:kern w:val="0"/>
          <w:sz w:val="30"/>
          <w:szCs w:val="30"/>
          <w:u w:color="000000"/>
        </w:rPr>
        <w:t>（三）公共服务项目用地基准地价的确定</w:t>
      </w:r>
      <w:bookmarkEnd w:id="62"/>
      <w:bookmarkEnd w:id="63"/>
      <w:bookmarkEnd w:id="64"/>
    </w:p>
    <w:p>
      <w:pPr>
        <w:ind w:firstLine="560"/>
        <w:jc w:val="both"/>
        <w:rPr>
          <w:rFonts w:ascii="仿宋" w:hAnsi="仿宋" w:eastAsia="仿宋" w:cs="仿宋"/>
          <w:color w:val="000000"/>
          <w:kern w:val="0"/>
          <w:szCs w:val="28"/>
          <w:u w:color="000000"/>
        </w:rPr>
      </w:pPr>
      <w:bookmarkStart w:id="65" w:name="_Toc326"/>
      <w:bookmarkStart w:id="66" w:name="_Toc20762"/>
      <w:r>
        <w:rPr>
          <w:rFonts w:hint="eastAsia" w:ascii="仿宋" w:hAnsi="仿宋" w:eastAsia="仿宋" w:cs="仿宋"/>
          <w:color w:val="000000"/>
          <w:kern w:val="0"/>
          <w:szCs w:val="28"/>
          <w:u w:color="000000"/>
        </w:rPr>
        <w:t>方法1：运用成本逼近法测算公共服务项目用地末级地基准地价，再通过级别比例系数法来测算公共服务项目用地其余级别的基准地价。</w:t>
      </w:r>
    </w:p>
    <w:p>
      <w:pPr>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方法2</w:t>
      </w:r>
      <w:r>
        <w:rPr>
          <w:rFonts w:ascii="仿宋" w:hAnsi="仿宋" w:eastAsia="仿宋" w:cs="仿宋"/>
          <w:color w:val="000000"/>
          <w:kern w:val="0"/>
          <w:szCs w:val="28"/>
          <w:u w:color="000000"/>
        </w:rPr>
        <w:t>市场比较法</w:t>
      </w:r>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根据替代原则，将待估土地与具有替代性，且在估价期日近期市场上交易的类似地产进行比较，并对类似地产的成交价格作适当修正以此估算待估土地客观合理价格的方法。</w:t>
      </w:r>
    </w:p>
    <w:p>
      <w:pPr>
        <w:ind w:firstLine="0" w:firstLineChars="0"/>
        <w:jc w:val="center"/>
        <w:rPr>
          <w:rFonts w:ascii="仿宋" w:hAnsi="仿宋" w:eastAsia="仿宋" w:cs="仿宋"/>
          <w:b/>
          <w:bCs/>
          <w:color w:val="000000"/>
          <w:kern w:val="0"/>
          <w:sz w:val="24"/>
          <w:szCs w:val="24"/>
          <w:u w:color="000000"/>
        </w:rPr>
      </w:pPr>
      <w:r>
        <w:rPr>
          <w:rFonts w:hint="eastAsia" w:ascii="仿宋" w:hAnsi="仿宋" w:eastAsia="仿宋" w:cs="仿宋"/>
          <w:b/>
          <w:bCs/>
          <w:color w:val="000000"/>
          <w:kern w:val="0"/>
          <w:sz w:val="24"/>
          <w:szCs w:val="24"/>
          <w:u w:color="000000"/>
        </w:rPr>
        <w:t>表4-</w:t>
      </w:r>
      <w:r>
        <w:rPr>
          <w:rFonts w:ascii="仿宋" w:hAnsi="仿宋" w:eastAsia="仿宋" w:cs="仿宋"/>
          <w:b/>
          <w:bCs/>
          <w:color w:val="000000"/>
          <w:kern w:val="0"/>
          <w:sz w:val="24"/>
          <w:szCs w:val="24"/>
          <w:u w:color="000000"/>
        </w:rPr>
        <w:t xml:space="preserve">1    </w:t>
      </w:r>
      <w:r>
        <w:rPr>
          <w:rFonts w:hint="eastAsia" w:ascii="仿宋" w:hAnsi="仿宋" w:eastAsia="仿宋" w:cs="仿宋"/>
          <w:b/>
          <w:bCs/>
          <w:color w:val="000000"/>
          <w:kern w:val="0"/>
          <w:sz w:val="24"/>
          <w:szCs w:val="24"/>
          <w:u w:color="000000"/>
        </w:rPr>
        <w:t>头道桥镇公共服务项目用地基准地价表</w:t>
      </w:r>
    </w:p>
    <w:p>
      <w:pPr>
        <w:ind w:firstLine="482"/>
        <w:jc w:val="right"/>
        <w:rPr>
          <w:rFonts w:ascii="仿宋" w:hAnsi="仿宋" w:eastAsia="仿宋" w:cs="仿宋"/>
          <w:b/>
          <w:bCs/>
          <w:color w:val="000000"/>
          <w:kern w:val="0"/>
          <w:szCs w:val="28"/>
          <w:u w:color="000000"/>
        </w:rPr>
      </w:pPr>
      <w:r>
        <w:rPr>
          <w:rFonts w:hint="eastAsia" w:ascii="仿宋" w:hAnsi="仿宋" w:eastAsia="仿宋" w:cs="仿宋"/>
          <w:b/>
          <w:bCs/>
          <w:color w:val="000000"/>
          <w:kern w:val="0"/>
          <w:sz w:val="24"/>
          <w:szCs w:val="24"/>
          <w:u w:color="000000"/>
        </w:rPr>
        <w:t>元/平方米</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5"/>
        <w:gridCol w:w="3543"/>
        <w:gridCol w:w="3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tcBorders>
              <w:tl2br w:val="single" w:color="auto" w:sz="4" w:space="0"/>
            </w:tcBorders>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spacing w:line="276" w:lineRule="auto"/>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3543"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保障性安居工程、养老、教育、文化和体育用地</w:t>
            </w:r>
          </w:p>
        </w:tc>
        <w:tc>
          <w:tcPr>
            <w:tcW w:w="3917"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能源、环境保护、供水、燃气供应、供热设施用地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3543"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150</w:t>
            </w:r>
          </w:p>
        </w:tc>
        <w:tc>
          <w:tcPr>
            <w:tcW w:w="3917"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3543"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125</w:t>
            </w:r>
          </w:p>
        </w:tc>
        <w:tc>
          <w:tcPr>
            <w:tcW w:w="3917"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565"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1"/>
                <w:u w:color="000000"/>
              </w:rPr>
              <w:t>Ⅲ</w:t>
            </w:r>
          </w:p>
        </w:tc>
        <w:tc>
          <w:tcPr>
            <w:tcW w:w="3543"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95</w:t>
            </w:r>
          </w:p>
        </w:tc>
        <w:tc>
          <w:tcPr>
            <w:tcW w:w="3917" w:type="dxa"/>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w:t>
            </w:r>
          </w:p>
        </w:tc>
      </w:tr>
    </w:tbl>
    <w:p>
      <w:pPr>
        <w:spacing w:before="156" w:beforeLines="50" w:after="156" w:afterLines="50"/>
        <w:ind w:firstLine="602"/>
        <w:jc w:val="both"/>
        <w:outlineLvl w:val="1"/>
        <w:rPr>
          <w:rFonts w:ascii="仿宋" w:hAnsi="仿宋" w:eastAsia="仿宋"/>
          <w:b/>
          <w:bCs/>
          <w:color w:val="000000"/>
          <w:kern w:val="0"/>
          <w:sz w:val="30"/>
          <w:szCs w:val="30"/>
          <w:u w:color="000000"/>
        </w:rPr>
      </w:pPr>
      <w:bookmarkStart w:id="67" w:name="_Toc143875240"/>
      <w:r>
        <w:rPr>
          <w:rFonts w:hint="eastAsia" w:ascii="仿宋" w:hAnsi="仿宋" w:eastAsia="仿宋"/>
          <w:b/>
          <w:bCs/>
          <w:color w:val="000000"/>
          <w:kern w:val="0"/>
          <w:sz w:val="30"/>
          <w:szCs w:val="30"/>
          <w:u w:color="000000"/>
        </w:rPr>
        <w:t>（四）公共服务项目用地的修正体系</w:t>
      </w:r>
      <w:bookmarkEnd w:id="65"/>
      <w:bookmarkEnd w:id="66"/>
      <w:bookmarkEnd w:id="67"/>
    </w:p>
    <w:p>
      <w:pPr>
        <w:ind w:firstLine="560"/>
        <w:jc w:val="both"/>
        <w:rPr>
          <w:rFonts w:ascii="仿宋" w:hAnsi="仿宋" w:eastAsia="仿宋" w:cs="仿宋"/>
          <w:szCs w:val="28"/>
        </w:rPr>
      </w:pPr>
      <w:r>
        <w:rPr>
          <w:rFonts w:hint="eastAsia" w:ascii="仿宋" w:hAnsi="仿宋" w:eastAsia="仿宋" w:cs="仿宋"/>
          <w:szCs w:val="28"/>
        </w:rPr>
        <w:t>此次修正体系的编制原理是保障性安居工程、养老、教育、文化和体育用地基准地价修正体系直接住宅用地修正体系；能源、环境保护、供水、燃气供应、供热设施用地基准地价修正体系采用工业用地修正体系，再进行部分因素因子调整，比如其中工业产业集聚效益等属于工业用地特有的因素需取消，把其对应权重等值归并到比较重要的因素当中（例如基础设施状况等）。</w:t>
      </w:r>
    </w:p>
    <w:p>
      <w:pPr>
        <w:ind w:firstLine="560"/>
        <w:jc w:val="both"/>
        <w:rPr>
          <w:rFonts w:ascii="仿宋" w:hAnsi="仿宋" w:eastAsia="仿宋" w:cs="仿宋"/>
          <w:b/>
          <w:bCs/>
          <w:sz w:val="24"/>
          <w:szCs w:val="24"/>
        </w:rPr>
        <w:sectPr>
          <w:pgSz w:w="11849" w:h="16781"/>
          <w:pgMar w:top="1417" w:right="1417" w:bottom="1304" w:left="1417" w:header="851" w:footer="992" w:gutter="0"/>
          <w:cols w:space="720" w:num="1"/>
          <w:docGrid w:type="lines" w:linePitch="312" w:charSpace="0"/>
        </w:sectPr>
      </w:pPr>
      <w:r>
        <w:rPr>
          <w:rFonts w:hint="eastAsia" w:ascii="仿宋" w:hAnsi="仿宋" w:eastAsia="仿宋" w:cs="仿宋"/>
          <w:szCs w:val="28"/>
        </w:rPr>
        <w:t>1.保障性安居工程、养老、教育、文化和体育用地等公共服务项目用地修正体系</w:t>
      </w:r>
    </w:p>
    <w:p>
      <w:pPr>
        <w:tabs>
          <w:tab w:val="left" w:pos="705"/>
        </w:tabs>
        <w:ind w:firstLine="0" w:firstLineChars="0"/>
        <w:jc w:val="center"/>
        <w:rPr>
          <w:rFonts w:ascii="仿宋" w:hAnsi="仿宋" w:eastAsia="仿宋" w:cs="仿宋"/>
          <w:b/>
          <w:bCs/>
          <w:sz w:val="24"/>
          <w:szCs w:val="24"/>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4-2  </w:t>
      </w:r>
      <w:r>
        <w:rPr>
          <w:rFonts w:hint="eastAsia" w:ascii="仿宋" w:hAnsi="仿宋" w:eastAsia="仿宋" w:cs="仿宋"/>
          <w:b/>
          <w:bCs/>
          <w:sz w:val="24"/>
          <w:szCs w:val="24"/>
          <w:u w:color="000000"/>
        </w:rPr>
        <w:t xml:space="preserve">  头道桥镇一级公共服务项目用地影响因素指标说明表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bookmarkStart w:id="68" w:name="_Hlk99023197"/>
            <w:r>
              <w:rPr>
                <w:rFonts w:ascii="仿宋" w:hAnsi="仿宋" w:eastAsia="仿宋"/>
                <w:color w:val="000000"/>
                <w:kern w:val="0"/>
                <w:sz w:val="21"/>
                <w:szCs w:val="21"/>
                <w:u w:color="000000"/>
              </w:rPr>
              <mc:AlternateContent>
                <mc:Choice Requires="wps">
                  <w:drawing>
                    <wp:anchor distT="0" distB="0" distL="114300" distR="114300" simplePos="0" relativeHeight="251808768" behindDoc="0" locked="0" layoutInCell="1" allowOverlap="1">
                      <wp:simplePos x="0" y="0"/>
                      <wp:positionH relativeFrom="column">
                        <wp:posOffset>1123950</wp:posOffset>
                      </wp:positionH>
                      <wp:positionV relativeFrom="paragraph">
                        <wp:posOffset>-10795</wp:posOffset>
                      </wp:positionV>
                      <wp:extent cx="666750" cy="542925"/>
                      <wp:effectExtent l="0" t="0" r="19050" b="28575"/>
                      <wp:wrapNone/>
                      <wp:docPr id="26" name="自选图形 13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66750" cy="542925"/>
                              </a:xfrm>
                              <a:prstGeom prst="straightConnector1">
                                <a:avLst/>
                              </a:prstGeom>
                              <a:noFill/>
                              <a:ln w="9525">
                                <a:solidFill>
                                  <a:srgbClr val="000000"/>
                                </a:solidFill>
                                <a:round/>
                              </a:ln>
                              <a:effectLst/>
                            </wps:spPr>
                            <wps:bodyPr/>
                          </wps:wsp>
                        </a:graphicData>
                      </a:graphic>
                    </wp:anchor>
                  </w:drawing>
                </mc:Choice>
                <mc:Fallback>
                  <w:pict>
                    <v:shape id="自选图形 139" o:spid="_x0000_s1026" o:spt="32" type="#_x0000_t32" style="position:absolute;left:0pt;flip:x y;margin-left:88.5pt;margin-top:-0.85pt;height:42.75pt;width:52.5pt;z-index:251808768;mso-width-relative:page;mso-height-relative:page;" filled="f" stroked="t" coordsize="21600,21600" o:gfxdata="UEsFBgAAAAAAAAAAAAAAAAAAAAAAAFBLAwQKAAAAAACHTuJAAAAAAAAAAAAAAAAABAAAAGRycy9Q&#10;SwMEFAAAAAgAh07iQHEzBdHZAAAACQEAAA8AAABkcnMvZG93bnJldi54bWxNj8FOwzAQRO9I/Qdr&#10;K3FBrZOAmijE6aESFVUPiBZxduIliRqvo9htCl/f5QTHmR3NvinWV9uLC46+c6QgXkYgkGpnOmoU&#10;fBxfFhkIHzQZ3TtCBd/oYV3O7gqdGzfRO14OoRFcQj7XCtoQhlxKX7dotV+6AYlvX260OrAcG2lG&#10;PXG57WUSRStpdUf8odUDblqsT4ezVfC0OlbbqcZdKt9+JrN//dzuHqxS9/M4egYR8Br+wvCLz+hQ&#10;MlPlzmS86FmnKW8JChZxCoIDSZawUSnIHjOQZSH/LyhvUEsDBBQAAAAIAIdO4kCNKpUc6AEAAJkD&#10;AAAOAAAAZHJzL2Uyb0RvYy54bWytU8GO0zAQvSPxD5bvNG2hgUZN99DVwmGBSrtwdx0nsXA81tht&#10;2hs3xDdw2yP/AH+zEvwFYzfbZeGGyMHKZDzvvXkzWZztO8N2Cr0GW/LJaMyZshIqbZuSv7u+ePKC&#10;Mx+ErYQBq0p+UJ6fLR8/WvSuUFNowVQKGYFYX/Su5G0IrsgyL1vVCT8Cpywla8BOBAqxySoUPaF3&#10;JpuOx3nWA1YOQSrv6ev5McmXCb+ulQxv69qrwEzJSVtIJ6ZzE89suRBFg8K1Wg4yxD+o6IS2RHqC&#10;OhdBsC3qv6A6LRE81GEkocugrrVUqQfqZjL+o5urVjiVeiFzvDvZ5P8frHyzWyPTVcmnOWdWdDSj&#10;H5++/vz4+fbL99tvN2zydB5N6p0v6O7KrjG2Kff2yl2C/OCZhVUrbKOS2OuDI4CAWxWLsgdVMfCO&#10;2Db9a6jomtgGSKbta+xYbbR7NdSm4P0QRD4yiu3T1A6nqal9YJI+5nn+fEazlZSaPZvOp7PELYoI&#10;G4sd+vBSQcfiS8l9QKGbNqzAWtoPwEkSIXaXPkTR9wWx2MKFNiatibGsL/l8RgQx48HoKiZTgM1m&#10;ZZDtRFy09AwqHlxD2NrqSGJsrFNpRwfmO4eOdm+gOqzxzkaaf9I27GpcsN/jZPb9H7X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EzBdHZAAAACQEAAA8AAAAAAAAAAQAgAAAAOAAAAGRycy9kb3du&#10;cmV2LnhtbFBLAQIUABQAAAAIAIdO4kCNKpUc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09792" behindDoc="0" locked="0" layoutInCell="1" allowOverlap="1">
                      <wp:simplePos x="0" y="0"/>
                      <wp:positionH relativeFrom="column">
                        <wp:posOffset>28575</wp:posOffset>
                      </wp:positionH>
                      <wp:positionV relativeFrom="paragraph">
                        <wp:posOffset>59055</wp:posOffset>
                      </wp:positionV>
                      <wp:extent cx="1724025" cy="314325"/>
                      <wp:effectExtent l="0" t="0" r="28575" b="28575"/>
                      <wp:wrapNone/>
                      <wp:docPr id="27" name="自选图形 14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24025" cy="314325"/>
                              </a:xfrm>
                              <a:prstGeom prst="straightConnector1">
                                <a:avLst/>
                              </a:prstGeom>
                              <a:noFill/>
                              <a:ln w="9525">
                                <a:solidFill>
                                  <a:srgbClr val="000000"/>
                                </a:solidFill>
                                <a:round/>
                              </a:ln>
                              <a:effectLst/>
                            </wps:spPr>
                            <wps:bodyPr/>
                          </wps:wsp>
                        </a:graphicData>
                      </a:graphic>
                    </wp:anchor>
                  </w:drawing>
                </mc:Choice>
                <mc:Fallback>
                  <w:pict>
                    <v:shape id="自选图形 140" o:spid="_x0000_s1026" o:spt="32" type="#_x0000_t32" style="position:absolute;left:0pt;flip:x y;margin-left:2.25pt;margin-top:4.65pt;height:24.75pt;width:135.75pt;z-index:251809792;mso-width-relative:page;mso-height-relative:page;" filled="f" stroked="t" coordsize="21600,21600" o:gfxdata="UEsFBgAAAAAAAAAAAAAAAAAAAAAAAFBLAwQKAAAAAACHTuJAAAAAAAAAAAAAAAAABAAAAGRycy9Q&#10;SwMEFAAAAAgAh07iQNJ4Wb/XAAAABgEAAA8AAABkcnMvZG93bnJldi54bWxNj0FLw0AQhe+C/2EZ&#10;wYvYTatNY8ymB8Fi8SC24nmSHZNgdjZkt0311zue9Di8x/e+KdYn16sjjaHzbGA+S0AR19523Bh4&#10;2z9eZ6BCRLbYeyYDXxRgXZ6fFZhbP/ErHXexUQLhkKOBNsYh1zrULTkMMz8QS/bhR4dRzrHRdsRJ&#10;4K7XiyRJtcOOZaHFgR5aqj93B2fgNt1Xm6mm7Uq/fE/2+el9s71yxlxezJN7UJFO8a8Mv/qiDqU4&#10;Vf7ANqheGEspGri7ASXpYpXKZ5WBZZaBLgv9X7/8AVBLAwQUAAAACACHTuJAEZgu5+oBAACaAwAA&#10;DgAAAGRycy9lMm9Eb2MueG1srVPNjtMwEL4j8Q6W7zRNt8tC1HQPXS0cFqi0C3fXcRILx2ON3Sa9&#10;cUM8A7c98g7wNivBWzB2s4WFGyKHkT/PzDc//rI4HzrDdgq9BlvyfDLlTFkJlbZNyd/eXD55xpkP&#10;wlbCgFUl3yvPz5ePHy16V6gZtGAqhYxIrC96V/I2BFdkmZet6oSfgFOWnDVgJwJBbLIKRU/snclm&#10;0+nTrAesHIJU3tPtxcHJl4m/rpUMb+raq8BMyam3kCwmu4k2Wy5E0aBwrZZjG+IfuuiEtlT0SHUh&#10;gmBb1H9RdVoieKjDREKXQV1rqdIMNE0+/WOa61Y4lWah5Xh3XJP/f7Ty9W6NTFcln51xZkVHb/T9&#10;45cfHz7dff529/WW5fO0pN75gmJXdo1xTDnYa3cF8r1nFlatsI1Kzd7sHREE3Kq42exBVgTeUbVN&#10;/woqChPbAGlpQ40dq412L8fcBN6NINajRbEhvdr++GpqCEzSZX42m09np5xJ8p3k8xM6x+KiiLwx&#10;26EPLxR0LB5K7gMK3bRhBdaSQADz1IXYXflwSLxPiMkWLrUxSSfGsr7kz0+pQPR4MLqKzgSw2awM&#10;sp2ISkvf2MWDMIStrQ5FjI15Kol0rHy/oihfX2yg2q8xBkdEAkhDjWKNCvsdp6hfv9T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J4Wb/XAAAABgEAAA8AAAAAAAAAAQAgAAAAOAAAAGRycy9kb3du&#10;cmV2LnhtbFBLAQIUABQAAAAIAIdO4kARmC7n6gEAAJoDAAAOAAAAAAAAAAEAIAAAADw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4</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6</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8</w:t>
            </w:r>
            <w:r>
              <w:rPr>
                <w:rFonts w:ascii="仿宋" w:hAnsi="仿宋" w:eastAsia="仿宋"/>
                <w:color w:val="000000"/>
                <w:kern w:val="0"/>
                <w:sz w:val="21"/>
                <w:szCs w:val="21"/>
                <w:u w:color="000000"/>
              </w:rPr>
              <w:t>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bookmarkEnd w:id="68"/>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4-3</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头道桥镇一级公共服务项目用地基准地价修正系数表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2040" w:firstLineChars="850"/>
              <w:jc w:val="right"/>
              <w:rPr>
                <w:rFonts w:ascii="仿宋" w:hAnsi="仿宋" w:eastAsia="仿宋"/>
                <w:color w:val="000000"/>
                <w:kern w:val="0"/>
                <w:sz w:val="21"/>
                <w:szCs w:val="21"/>
                <w:u w:color="000000"/>
              </w:rPr>
            </w:pPr>
            <w:bookmarkStart w:id="69" w:name="_Hlk99023241"/>
            <w:r>
              <w:rPr>
                <w:rFonts w:ascii="仿宋" w:hAnsi="仿宋" w:eastAsia="仿宋"/>
                <w:color w:val="000000"/>
                <w:kern w:val="0"/>
                <w:sz w:val="24"/>
                <w:szCs w:val="21"/>
                <w:u w:color="000000"/>
              </w:rPr>
              <mc:AlternateContent>
                <mc:Choice Requires="wps">
                  <w:drawing>
                    <wp:anchor distT="0" distB="0" distL="114300" distR="114300" simplePos="0" relativeHeight="251810816" behindDoc="0" locked="0" layoutInCell="1" allowOverlap="1">
                      <wp:simplePos x="0" y="0"/>
                      <wp:positionH relativeFrom="column">
                        <wp:posOffset>1066800</wp:posOffset>
                      </wp:positionH>
                      <wp:positionV relativeFrom="paragraph">
                        <wp:posOffset>8890</wp:posOffset>
                      </wp:positionV>
                      <wp:extent cx="847090" cy="568960"/>
                      <wp:effectExtent l="0" t="0" r="29210" b="21590"/>
                      <wp:wrapNone/>
                      <wp:docPr id="30" name="自选图形 16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847090" cy="568960"/>
                              </a:xfrm>
                              <a:prstGeom prst="straightConnector1">
                                <a:avLst/>
                              </a:prstGeom>
                              <a:noFill/>
                              <a:ln w="9525">
                                <a:solidFill>
                                  <a:srgbClr val="000000"/>
                                </a:solidFill>
                                <a:round/>
                              </a:ln>
                              <a:effectLst/>
                            </wps:spPr>
                            <wps:bodyPr/>
                          </wps:wsp>
                        </a:graphicData>
                      </a:graphic>
                    </wp:anchor>
                  </w:drawing>
                </mc:Choice>
                <mc:Fallback>
                  <w:pict>
                    <v:shape id="自选图形 166" o:spid="_x0000_s1026" o:spt="32" type="#_x0000_t32" style="position:absolute;left:0pt;flip:x y;margin-left:84pt;margin-top:0.7pt;height:44.8pt;width:66.7pt;z-index:251810816;mso-width-relative:page;mso-height-relative:page;" filled="f" stroked="t" coordsize="21600,21600" o:gfxdata="UEsFBgAAAAAAAAAAAAAAAAAAAAAAAFBLAwQKAAAAAACHTuJAAAAAAAAAAAAAAAAABAAAAGRycy9Q&#10;SwMEFAAAAAgAh07iQPo7QdvXAAAACAEAAA8AAABkcnMvZG93bnJldi54bWxNj8FOwzAQRO9I/Qdr&#10;kbig1g5UoaRxeqhERcUB0VacnXibRMTrKHabwtezPcFtRrOafZOvLq4TZxxC60lDMlMgkCpvW6o1&#10;HPYv0wWIEA1Z03lCDd8YYFVMbnKTWT/SB553sRZcQiEzGpoY+0zKUDXoTJj5Homzox+ciWyHWtrB&#10;jFzuOvmgVCqdaYk/NKbHdYPV1+7kNMzTfbkZK9w+yfef0b69fm62907ru9tELUFEvMS/Y7jiMzoU&#10;zFT6E9kgOvbpgrdEFnMQnD+qqyg1PCcKZJHL/wOKX1BLAwQUAAAACACHTuJAerNkFusBAACZAwAA&#10;DgAAAGRycy9lMm9Eb2MueG1srVPBjtMwEL0j8Q+W7zRtoaGNmu6hq4XDApV2l7vrOImF47HGbtPe&#10;uCG+gRtH/gH+ZiX4ix273e4CN0QOVibj9+bNm8n8bNcZtlXoNdiSjwZDzpSVUGnblPzm+uLZlDMf&#10;hK2EAatKvleeny2ePpn3rlBjaMFUChmRWF/0ruRtCK7IMi9b1Qk/AKcsJWvATgQKsckqFD2xdyYb&#10;D4d51gNWDkEq7+nr+SHJF4m/rpUM7+raq8BMyUlbSCemcx3PbDEXRYPCtVoeZYh/UNEJbanoiepc&#10;BME2qP+i6rRE8FCHgYQug7rWUqUeqJvR8I9urlrhVOqFzPHuZJP/f7Ty7XaFTFclf072WNHRjH5+&#10;+vbr4+fbLz9uv39lozyPJvXOF3R3aVcY25Q7e+UuQX7wzMKyFbZRSez13hFBwI2KoOw3VAy8o2rr&#10;/g1UdE1sAiTTdjV2rDbavT5iU/D+GMR6ZBTbpantT1NTu8AkfZy+eDmckXhJqUk+neVpqpkoIm0E&#10;O/ThlYKOxZeS+4BCN21YgrW0H4CjJEJsL32Ioh8AEWzhQhuT1sRY1pd8NhlPEsCD0VVMxmsem/XS&#10;INuKuGjpSQ5Q5vE1hI2tDkWMjTiVdvRY+d6hg91rqPYrvLeR5p+0HXc1LtjjOJn98Ect7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6O0Hb1wAAAAgBAAAPAAAAAAAAAAEAIAAAADgAAABkcnMvZG93&#10;bnJldi54bWxQSwECFAAUAAAACACHTuJAerNkFusBAACZAwAADgAAAAAAAAABACAAAAA8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1840" behindDoc="0" locked="0" layoutInCell="1" allowOverlap="1">
                      <wp:simplePos x="0" y="0"/>
                      <wp:positionH relativeFrom="column">
                        <wp:posOffset>9525</wp:posOffset>
                      </wp:positionH>
                      <wp:positionV relativeFrom="paragraph">
                        <wp:posOffset>48260</wp:posOffset>
                      </wp:positionV>
                      <wp:extent cx="1885950" cy="333375"/>
                      <wp:effectExtent l="0" t="0" r="19050" b="28575"/>
                      <wp:wrapNone/>
                      <wp:docPr id="31" name="自选图形 16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85950" cy="333375"/>
                              </a:xfrm>
                              <a:prstGeom prst="straightConnector1">
                                <a:avLst/>
                              </a:prstGeom>
                              <a:noFill/>
                              <a:ln w="9525">
                                <a:solidFill>
                                  <a:srgbClr val="000000"/>
                                </a:solidFill>
                                <a:round/>
                              </a:ln>
                              <a:effectLst/>
                            </wps:spPr>
                            <wps:bodyPr/>
                          </wps:wsp>
                        </a:graphicData>
                      </a:graphic>
                    </wp:anchor>
                  </w:drawing>
                </mc:Choice>
                <mc:Fallback>
                  <w:pict>
                    <v:shape id="自选图形 167" o:spid="_x0000_s1026" o:spt="32" type="#_x0000_t32" style="position:absolute;left:0pt;flip:x y;margin-left:0.75pt;margin-top:3.8pt;height:26.25pt;width:148.5pt;z-index:251811840;mso-width-relative:page;mso-height-relative:page;" filled="f" stroked="t" coordsize="21600,21600" o:gfxdata="UEsFBgAAAAAAAAAAAAAAAAAAAAAAAFBLAwQKAAAAAACHTuJAAAAAAAAAAAAAAAAABAAAAGRycy9Q&#10;SwMEFAAAAAgAh07iQJG0cPjWAAAABgEAAA8AAABkcnMvZG93bnJldi54bWxNjk1PwzAQRO+V+A/W&#10;InGpWjsVpCXE6QGJiooD6od6duIliYjXUew2hV/PcoLj04xmXr6+uk5ccAitJw3JXIFAqrxtqdZw&#10;PLzMViBCNGRN5wk1fGGAdXEzyU1m/Ug7vOxjLXiEQmY0NDH2mZShatCZMPc9EmcffnAmMg61tIMZ&#10;edx1cqFUKp1piR8a0+Nzg9Xn/uw03KeHcjNWuF3K9+/Rvr2eNtup0/ruNlFPICJe418ZfvVZHQp2&#10;Kv2ZbBAd8wMXNSxTEJwuHlfMpYZUJSCLXP7XL34AUEsDBBQAAAAIAIdO4kD13H+t6QEAAJoDAAAO&#10;AAAAZHJzL2Uyb0RvYy54bWytU8FuEzEQvSPxD5bvZLOp0qarbHpIVTgUiNTC3fF6dy28HmvsZJMb&#10;N8Q3cOPYf4C/qQR/wdjZphRuCB+sHc+8mTdvZucXu86wrUKvwZY8H405U1ZCpW1T8ne3Vy9mnPkg&#10;bCUMWFXyvfL8YvH82bx3hZpAC6ZSyCiJ9UXvSt6G4Ios87JVnfAjcMqSswbsRCATm6xC0VP2zmST&#10;8fg06wErhyCV9/R6eXDyRcpf10qGt3XtVWCm5MQtpBvTvY53tpiLokHhWi0HGuIfWHRCWyp6THUp&#10;gmAb1H+l6rRE8FCHkYQug7rWUqUeqJt8/Ec3N61wKvVC4nh3lMn/v7TyzXaFTFclP8k5s6KjGf34&#10;dPfz4+f7L9/vv31l+elZFKl3vqDYpV1hbFPu7I27BvnBMwvLVthGJbK3e0cJAm5UBGVPUNHwjqqt&#10;+9dQUZjYBEii7WrsWG20ezVgk/F+MGI9Eort0tT2x6mpXWCSHvPZbHo+peFK8p3QOZum4qKIeSPa&#10;oQ8vFXQsfpTcBxS6acMSrKUFAcwTC7G99iGyfgREsIUrbUzaE2NZX/Lz6WSaAB6MrqIzhnls1kuD&#10;bCvipqUzsHgShrCx1aGIsRGn0pIOlR8kOui9hmq/wgcdaQESt2FZ44b9bie1H3+p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RtHD41gAAAAYBAAAPAAAAAAAAAAEAIAAAADgAAABkcnMvZG93bnJl&#10;di54bWxQSwECFAAUAAAACACHTuJA9dx/rekBAACaAwAADgAAAAAAAAABACAAAAA7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0.0234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-0.0035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-0.0070 </w:t>
            </w:r>
          </w:p>
        </w:tc>
      </w:tr>
      <w:tr>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0.0018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-0.0127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0.0144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0.0072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-0.0051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-0.0101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bookmarkEnd w:id="69"/>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4-4</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头道桥镇二级公共服务项目用地影响因素指标说明表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bookmarkStart w:id="70" w:name="_Hlk99023256"/>
            <w:r>
              <w:rPr>
                <w:rFonts w:ascii="仿宋" w:hAnsi="仿宋" w:eastAsia="仿宋"/>
                <w:color w:val="000000"/>
                <w:kern w:val="0"/>
                <w:sz w:val="21"/>
                <w:szCs w:val="21"/>
                <w:u w:color="000000"/>
              </w:rPr>
              <mc:AlternateContent>
                <mc:Choice Requires="wps">
                  <w:drawing>
                    <wp:anchor distT="0" distB="0" distL="114300" distR="114300" simplePos="0" relativeHeight="251813888" behindDoc="0" locked="0" layoutInCell="1" allowOverlap="1">
                      <wp:simplePos x="0" y="0"/>
                      <wp:positionH relativeFrom="column">
                        <wp:posOffset>9525</wp:posOffset>
                      </wp:positionH>
                      <wp:positionV relativeFrom="paragraph">
                        <wp:posOffset>161290</wp:posOffset>
                      </wp:positionV>
                      <wp:extent cx="1676400" cy="361950"/>
                      <wp:effectExtent l="0" t="0" r="19050" b="19050"/>
                      <wp:wrapNone/>
                      <wp:docPr id="69" name="自选图形 17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676400" cy="361950"/>
                              </a:xfrm>
                              <a:prstGeom prst="straightConnector1">
                                <a:avLst/>
                              </a:prstGeom>
                              <a:noFill/>
                              <a:ln w="9525">
                                <a:solidFill>
                                  <a:srgbClr val="000000"/>
                                </a:solidFill>
                                <a:round/>
                              </a:ln>
                              <a:effectLst/>
                            </wps:spPr>
                            <wps:bodyPr/>
                          </wps:wsp>
                        </a:graphicData>
                      </a:graphic>
                    </wp:anchor>
                  </w:drawing>
                </mc:Choice>
                <mc:Fallback>
                  <w:pict>
                    <v:shape id="自选图形 173" o:spid="_x0000_s1026" o:spt="32" type="#_x0000_t32" style="position:absolute;left:0pt;flip:x y;margin-left:0.75pt;margin-top:12.7pt;height:28.5pt;width:132pt;z-index:251813888;mso-width-relative:page;mso-height-relative:page;" filled="f" stroked="t" coordsize="21600,21600" o:gfxdata="UEsFBgAAAAAAAAAAAAAAAAAAAAAAAFBLAwQKAAAAAACHTuJAAAAAAAAAAAAAAAAABAAAAGRycy9Q&#10;SwMEFAAAAAgAh07iQM29f7rWAAAABwEAAA8AAABkcnMvZG93bnJldi54bWxNjs1OwkAUhfcmvsPk&#10;krgxMqVpK6mdsjCRQFgYwbiedq5tQ+dO0xko+PReVro8PznnK1YX24szjr5zpGAxj0Ag1c501Cj4&#10;PLw9LUH4oMno3hEquKKHVXl/V+jcuIk+8LwPjeAR8rlW0IYw5FL6ukWr/dwNSJx9u9HqwHJspBn1&#10;xOO2l3EUZdLqjvih1QO+tlgf9yerIMkO1Xqqcfss338ms9t8rbePVqmH2SJ6ARHwEv7KcMNndCiZ&#10;qXInMl70rFMuKojTBATHcZayUSlYxgnIspD/+ctfUEsDBBQAAAAIAIdO4kCVGmjj7AEAAJoDAAAO&#10;AAAAZHJzL2Uyb0RvYy54bWytU8FuEzEQvSPxD5bvZLMpSckqmx5SFQ4FIrVwd7zeXQuvxxo72eTG&#10;DfEN3HrkH+BvKrV/wdhJ0wI3xB6sHc+8NzNvxrOzbWfYRqHXYEueD4acKSuh0rYp+YfrixevOPNB&#10;2EoYsKrkO+X52fz5s1nvCjWCFkylkBGJ9UXvSt6G4Ios87JVnfADcMqSswbsRCATm6xC0RN7Z7LR&#10;cDjJesDKIUjlPd2e7518nvjrWsnwvq69CsyUnGoL6cR0ruKZzWeiaFC4VstDGeIfquiEtpT0SHUu&#10;gmBr1H9RdVoieKjDQEKXQV1rqVIP1E0+/KObq1Y4lXohcbw7yuT/H618t1ki01XJJ1POrOhoRndf&#10;vt9//nr77eftjxuWn55EkXrnC4pd2CXGNuXWXrlLkJ88s7BohW1UKvZ654gg4FpFUPYbKhreUbZV&#10;/xYqChPrAEm0bY0dq412bw7YZHw8GDEfCcW2aWq749TUNjBJl/nkdPJySMOV5DuZ5NNxGmsmisgb&#10;0Q59eK2gY/Gn5D6g0E0bFmAtLQhgnqoQm0sfYtWPgAi2cKGNSXtiLOtLPh2PxgngwegqOmOYx2a1&#10;MMg2Im5a+pIE5HkahrC21T6JsRGn0pIeMj9ItNd7BdVuiQ860gKk2g7LGjfsqZ3UfnxS8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NvX+61gAAAAcBAAAPAAAAAAAAAAEAIAAAADgAAABkcnMvZG93&#10;bnJldi54bWxQSwECFAAUAAAACACHTuJAlRpo4+wBAACaAwAADgAAAAAAAAABACAAAAA7AQAAZHJz&#10;L2Uyb0RvYy54bWxQSwUGAAAAAAYABgBZAQAAmQUAAAAA&#10;">
                      <v:fill on="f" focussize="0,0"/>
                      <v:stroke color="#000000" joinstyle="round"/>
                      <v:imagedata o:title=""/>
                      <o:lock v:ext="edit" aspectratio="f"/>
                    </v:shape>
                  </w:pict>
                </mc:Fallback>
              </mc:AlternateContent>
            </w:r>
            <w:r>
              <w:rPr>
                <w:rFonts w:ascii="仿宋" w:hAnsi="仿宋" w:eastAsia="仿宋"/>
                <w:color w:val="000000"/>
                <w:kern w:val="0"/>
                <w:sz w:val="21"/>
                <w:szCs w:val="21"/>
                <w:u w:color="000000"/>
              </w:rPr>
              <mc:AlternateContent>
                <mc:Choice Requires="wps">
                  <w:drawing>
                    <wp:anchor distT="0" distB="0" distL="114300" distR="114300" simplePos="0" relativeHeight="251812864" behindDoc="0" locked="0" layoutInCell="1" allowOverlap="1">
                      <wp:simplePos x="0" y="0"/>
                      <wp:positionH relativeFrom="column">
                        <wp:posOffset>1134110</wp:posOffset>
                      </wp:positionH>
                      <wp:positionV relativeFrom="paragraph">
                        <wp:posOffset>-1270</wp:posOffset>
                      </wp:positionV>
                      <wp:extent cx="609600" cy="504825"/>
                      <wp:effectExtent l="0" t="0" r="19050" b="28575"/>
                      <wp:wrapNone/>
                      <wp:docPr id="70" name="自选图形 17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609600" cy="504825"/>
                              </a:xfrm>
                              <a:prstGeom prst="straightConnector1">
                                <a:avLst/>
                              </a:prstGeom>
                              <a:noFill/>
                              <a:ln w="9525">
                                <a:solidFill>
                                  <a:srgbClr val="000000"/>
                                </a:solidFill>
                                <a:round/>
                              </a:ln>
                              <a:effectLst/>
                            </wps:spPr>
                            <wps:bodyPr/>
                          </wps:wsp>
                        </a:graphicData>
                      </a:graphic>
                    </wp:anchor>
                  </w:drawing>
                </mc:Choice>
                <mc:Fallback>
                  <w:pict>
                    <v:shape id="自选图形 172" o:spid="_x0000_s1026" o:spt="32" type="#_x0000_t32" style="position:absolute;left:0pt;flip:x y;margin-left:89.3pt;margin-top:-0.1pt;height:39.75pt;width:48pt;z-index:251812864;mso-width-relative:page;mso-height-relative:page;" filled="f" stroked="t" coordsize="21600,21600" o:gfxdata="UEsFBgAAAAAAAAAAAAAAAAAAAAAAAFBLAwQKAAAAAACHTuJAAAAAAAAAAAAAAAAABAAAAGRycy9Q&#10;SwMEFAAAAAgAh07iQJj6+dHYAAAACAEAAA8AAABkcnMvZG93bnJldi54bWxNj0FPwkAQhe8m/IfN&#10;kHgxsKWSFmq3HEgkEg9GMJy33bFt6M423YWiv97xpMcv7+XNN/nmZjtxxcG3jhQs5hEIpMqZlmoF&#10;H8fn2QqED5qM7hyhgi/0sCkmd7nOjBvpHa+HUAseIZ9pBU0IfSalrxq02s9dj8TZpxusDoxDLc2g&#10;Rx63nYyjKJFWt8QXGt3jtsHqfLhYBcvkWO7GCvepfPsezevLabd/sErdTxfRE4iAt/BXhl99VoeC&#10;nUp3IeNFx5yuEq4qmMUgOI/TJXOpIF0/gixy+f+B4gdQSwMEFAAAAAgAh07iQLyDXyPoAQAAmQMA&#10;AA4AAABkcnMvZTJvRG9jLnhtbK1TsW7bMBDdC/QfCO61ZKN2EsFyBgdph7Q1kDQ7TVESUYpHHGnL&#10;3roV/YZuHfsP7d8EaP8iR1pxmnYrqoHQ6XjvvXt3mp/vOsO2Cr0GW/LxKOdMWQmVtk3J399cvjjl&#10;zAdhK2HAqpLvlefni+fP5r0r1ARaMJVCRiDWF70reRuCK7LMy1Z1wo/AKUvJGrATgUJssgpFT+id&#10;ySZ5Pst6wMohSOU9fb04JPki4de1kuFdXXsVmCk5aQvpxHSu45kt5qJoULhWy0GG+AcVndCWSI9Q&#10;FyIItkH9F1SnJYKHOowkdBnUtZYq9UDdjPM/urluhVOpFzLHu6NN/v/ByrfbFTJdlfyE7LGioxn9&#10;/PTt18fPd19+3H3/ysYnk2hS73xBd5d2hbFNubPX7grkB88sLFthG5XE3uwdAQTcqFiUPamKgXfE&#10;tu7fQEXXxCZAMm1XY8dqo93roTYFt0MQ+cgotktT2x+npnaBSfo4y89mOYmXlJrmL08n08Qtiggb&#10;ix368EpBx+JLyX1AoZs2LMFa2g/AcRIhtlc+RNGPBbHYwqU2Jq2Jsawv+dmUCGLGg9FVTKYAm/XS&#10;INuKuGjpGVQ8uYawsdWBxNhYp9KODswPDh3sXkO1X+GDjTT/pG3Y1bhgv8fJ7Mc/anE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mPr50dgAAAAIAQAADwAAAAAAAAABACAAAAA4AAAAZHJzL2Rvd25y&#10;ZXYueG1sUEsBAhQAFAAAAAgAh07iQLyDXyP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200</w:t>
            </w:r>
          </w:p>
        </w:tc>
      </w:tr>
      <w:tr>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400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600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600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1150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1150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bookmarkEnd w:id="70"/>
    </w:tbl>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805696" behindDoc="0" locked="0" layoutInCell="1" allowOverlap="1">
                <wp:simplePos x="0" y="0"/>
                <wp:positionH relativeFrom="column">
                  <wp:posOffset>845820</wp:posOffset>
                </wp:positionH>
                <wp:positionV relativeFrom="paragraph">
                  <wp:posOffset>305435</wp:posOffset>
                </wp:positionV>
                <wp:extent cx="1009015" cy="702310"/>
                <wp:effectExtent l="12065" t="12700" r="7620" b="8890"/>
                <wp:wrapNone/>
                <wp:docPr id="52" name="自选图形 17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09015" cy="702310"/>
                        </a:xfrm>
                        <a:prstGeom prst="straightConnector1">
                          <a:avLst/>
                        </a:prstGeom>
                        <a:noFill/>
                        <a:ln w="9525">
                          <a:solidFill>
                            <a:srgbClr val="000000"/>
                          </a:solidFill>
                          <a:round/>
                        </a:ln>
                        <a:effectLst/>
                      </wps:spPr>
                      <wps:bodyPr/>
                    </wps:wsp>
                  </a:graphicData>
                </a:graphic>
              </wp:anchor>
            </w:drawing>
          </mc:Choice>
          <mc:Fallback>
            <w:pict>
              <v:shape id="自选图形 170" o:spid="_x0000_s1026" o:spt="32" type="#_x0000_t32" style="position:absolute;left:0pt;flip:x y;margin-left:66.6pt;margin-top:24.05pt;height:55.3pt;width:79.45pt;z-index:251805696;mso-width-relative:page;mso-height-relative:page;" filled="f" stroked="t" coordsize="21600,21600" o:gfxdata="UEsFBgAAAAAAAAAAAAAAAAAAAAAAAFBLAwQKAAAAAACHTuJAAAAAAAAAAAAAAAAABAAAAGRycy9Q&#10;SwMEFAAAAAgAh07iQML7YTzaAAAACgEAAA8AAABkcnMvZG93bnJldi54bWxNj0FPwkAQhe8m/IfN&#10;kHgxsG1RqLVbDiQSiQcjEM/b7tg2dGeb7kLRX+940tu8vC9v3svXV9uJCw6+daQgnkcgkCpnWqoV&#10;HA/PsxSED5qM7hyhgi/0sC4mN7nOjBvpHS/7UAsOIZ9pBU0IfSalrxq02s9dj8TepxusDiyHWppB&#10;jxxuO5lE0VJa3RJ/aHSPmwar0/5sFdwvD+V2rHC3km/fo3l9+dju7qxSt9M4egIR8Br+YPitz9Wh&#10;4E6lO5PxomO9WCSMclgag2AgeUz4KNl5SFcgi1z+n1D8AFBLAwQUAAAACACHTuJAvr97/OsBAACa&#10;AwAADgAAAGRycy9lMm9Eb2MueG1srVPNbtQwEL4j8Q6W72x+0FIabbaHrQqHAiu1cPc6TmLheKwZ&#10;72b3xg3xDNw48g7wNpXgLbDddFvghsjBymRmvvnm85fF2X4wbKeQNNiaF7OcM2UlNNp2NX97ffHk&#10;OWfkhW2EAatqflDEz5aPHy1GV6kSejCNQhZALFWjq3nvvauyjGSvBkEzcMqGZAs4CB9C7LIGxRjQ&#10;B5OVef4sGwEbhyAVUfh6fpvky4Tftkr6N21LyjNT88DNpxPTuYlntlyIqkPhei0nGuIfWAxC2zD0&#10;CHUuvGBb1H9BDVoiELR+JmHIoG21VGmHsE2R/7HNVS+cSrsEccgdZaL/Bytf79bIdFPzecmZFUO4&#10;ox8fv/788Onm8/ebb19YcZJEGh1VoXZl1xjXlHt75S5BvidmYdUL26lE9vrgAoDHrYrKZr91xYBc&#10;mLYZX0ETysTWQxJt3+LAWqPdy6k3Be+mIM4LQrF9urXD8dbU3jMZPhZ5fpoXc85kyJ3k5dMiMc5E&#10;FXFjt0PyLxQMLL7UnDwK3fV+BdYGgwAWiYXYXZKPrO8bYrOFC21M8omxbKz56bycpwYCo5uYjGWE&#10;3WZlkO1EdFp6kgQh87AMYWub2yHGxj6VTDpNvpMo2peqDTSHNd7pGAyQuE1mjQ57GCe173+p5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C+2E82gAAAAoBAAAPAAAAAAAAAAEAIAAAADgAAABkcnMv&#10;ZG93bnJldi54bWxQSwECFAAUAAAACACHTuJAvr97/Os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4-5</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头道桥镇二级公共服务项目用地基准地价修正系数表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083"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bookmarkStart w:id="71" w:name="_Hlk99023282"/>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4912" behindDoc="0" locked="0" layoutInCell="1" allowOverlap="1">
                      <wp:simplePos x="0" y="0"/>
                      <wp:positionH relativeFrom="column">
                        <wp:posOffset>57150</wp:posOffset>
                      </wp:positionH>
                      <wp:positionV relativeFrom="paragraph">
                        <wp:posOffset>87630</wp:posOffset>
                      </wp:positionV>
                      <wp:extent cx="1838325" cy="323850"/>
                      <wp:effectExtent l="0" t="0" r="28575" b="19050"/>
                      <wp:wrapNone/>
                      <wp:docPr id="75" name="自选图形 16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38325" cy="323850"/>
                              </a:xfrm>
                              <a:prstGeom prst="straightConnector1">
                                <a:avLst/>
                              </a:prstGeom>
                              <a:noFill/>
                              <a:ln w="9525">
                                <a:solidFill>
                                  <a:srgbClr val="000000"/>
                                </a:solidFill>
                                <a:round/>
                              </a:ln>
                              <a:effectLst/>
                            </wps:spPr>
                            <wps:bodyPr/>
                          </wps:wsp>
                        </a:graphicData>
                      </a:graphic>
                    </wp:anchor>
                  </w:drawing>
                </mc:Choice>
                <mc:Fallback>
                  <w:pict>
                    <v:shape id="自选图形 168" o:spid="_x0000_s1026" o:spt="32" type="#_x0000_t32" style="position:absolute;left:0pt;flip:x y;margin-left:4.5pt;margin-top:6.9pt;height:25.5pt;width:144.75pt;z-index:251814912;mso-width-relative:page;mso-height-relative:page;" filled="f" stroked="t" coordsize="21600,21600" o:gfxdata="UEsFBgAAAAAAAAAAAAAAAAAAAAAAAFBLAwQKAAAAAACHTuJAAAAAAAAAAAAAAAAABAAAAGRycy9Q&#10;SwMEFAAAAAgAh07iQAIOmXTYAAAABwEAAA8AAABkcnMvZG93bnJldi54bWxNj8FOwzAQRO9I/IO1&#10;SFwQdVpKSEOcHpCoqDggWsR5Ey9JRLyOYrcpfD3LCY6zs5p5U6xPrldHGkPn2cB8loAirr3tuDHw&#10;tn+8zkCFiGyx90wGvijAujw/KzC3fuJXOu5ioySEQ44G2hiHXOtQt+QwzPxALN6HHx1GkWOj7YiT&#10;hLteL5Ik1Q47loYWB3poqf7cHZyBZbqvNlNN2zv98j3Z56f3zfbKGXN5MU/uQUU6xb9n+MUXdCiF&#10;qfIHtkH1BlayJMr5RgaIvVhlt6AqA+kyA10W+j9/+QNQSwMEFAAAAAgAh07iQHQSj5/pAQAAmgMA&#10;AA4AAABkcnMvZTJvRG9jLnhtbK1TzY7TMBC+I/EOlu80/VGXEDXdQ1cLhwUq7cLddZzEwvFYY7dJ&#10;b9wQz8CN474DvM1K8BaM3W4XlhsiByuT8XzzzTdfFudDZ9hOoddgSz4ZjTlTVkKlbVPydzeXz3LO&#10;fBC2EgasKvleeX6+fPpk0btCTaEFUylkBGJ90buStyG4Isu8bFUn/AicspSsATsRKMQmq1D0hN6Z&#10;bDoen2U9YOUQpPKevl4cknyZ8OtayfC2rr0KzJScuIV0Yjo38cyWC1E0KFyr5ZGG+AcWndCWmp6g&#10;LkQQbIv6L6hOSwQPdRhJ6DKoay1VmoGmmYwfTXPdCqfSLCSOdyeZ/P+DlW92a2S6KvnzOWdWdLSj&#10;H59uf378fPfl+923r2xylkeReucLuruya4xjysFeuyuQHzyzsGqFbVQie7N3BBBwq2JR9kdVDLyj&#10;bpv+NVR0TWwDJNGGGjtWG+1eHWtT8P4YxH4kFBvS1vanrakhMEkfJ/ksn02JvaTcbDrL52mtmSgi&#10;bqx26MNLBR2LLyX3AYVu2rACa8kggJPEQuyufIisHwpisYVLbUzyibGsL/mLOTWLGQ9GVzGZAmw2&#10;K4NsJ6LT0pMkeHQNYWurQxNjY51KJj12vpfooPcGqv0a73UkAyRuR7NGh/0eJ7Uffqn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AIOmXTYAAAABwEAAA8AAAAAAAAAAQAgAAAAOAAAAGRycy9kb3du&#10;cmV2LnhtbFBLAQIUABQAAAAIAIdO4kB0Eo+f6QEAAJoDAAAOAAAAAAAAAAEAIAAAAD0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0.0250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-0.0115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-0.0080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0.0135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0.0106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0.0053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-0.0049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-0.0022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0.0019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-0.0018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噪声染</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0.0192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58"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0.0154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0.0077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-0.0071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vAlign w:val="center"/>
          </w:tcPr>
          <w:p>
            <w:pPr>
              <w:spacing w:line="240" w:lineRule="auto"/>
              <w:ind w:firstLine="0" w:firstLineChars="0"/>
              <w:jc w:val="center"/>
              <w:rPr>
                <w:rFonts w:eastAsia="仿宋"/>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27"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0.0096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0.0048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0.0000 </w:t>
            </w:r>
          </w:p>
        </w:tc>
        <w:tc>
          <w:tcPr>
            <w:tcW w:w="1230"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-0.0044 </w:t>
            </w:r>
          </w:p>
        </w:tc>
        <w:tc>
          <w:tcPr>
            <w:tcW w:w="1228" w:type="dxa"/>
            <w:vAlign w:val="center"/>
          </w:tcPr>
          <w:p>
            <w:pPr>
              <w:spacing w:line="240" w:lineRule="auto"/>
              <w:ind w:firstLine="0" w:firstLineChars="0"/>
              <w:jc w:val="center"/>
              <w:rPr>
                <w:rFonts w:eastAsia="仿宋"/>
                <w:color w:val="000000"/>
                <w:kern w:val="0"/>
                <w:sz w:val="21"/>
                <w:szCs w:val="21"/>
                <w:u w:color="000000"/>
              </w:rPr>
            </w:pPr>
            <w:r>
              <w:rPr>
                <w:rFonts w:eastAsia="仿宋"/>
                <w:color w:val="000000"/>
                <w:kern w:val="0"/>
                <w:sz w:val="21"/>
                <w:szCs w:val="21"/>
                <w:u w:color="000000"/>
              </w:rPr>
              <w:t xml:space="preserve">-0.0088 </w:t>
            </w:r>
          </w:p>
        </w:tc>
      </w:tr>
      <w:bookmarkEnd w:id="71"/>
    </w:tbl>
    <w:p>
      <w:pPr>
        <w:tabs>
          <w:tab w:val="left" w:pos="705"/>
        </w:tabs>
        <w:ind w:firstLine="0" w:firstLineChars="0"/>
        <w:jc w:val="center"/>
        <w:rPr>
          <w:rFonts w:ascii="仿宋" w:hAnsi="仿宋" w:eastAsia="仿宋" w:cs="仿宋"/>
          <w:b/>
          <w:bCs/>
          <w:sz w:val="24"/>
          <w:szCs w:val="24"/>
          <w:u w:color="000000"/>
        </w:rPr>
        <w:sectPr>
          <w:pgSz w:w="11849" w:h="16781"/>
          <w:pgMar w:top="1417" w:right="1417" w:bottom="1304" w:left="1417" w:header="851" w:footer="992" w:gutter="0"/>
          <w:cols w:space="720" w:num="1"/>
          <w:docGrid w:type="lines" w:linePitch="312" w:charSpace="0"/>
        </w:sectPr>
      </w:pPr>
    </w:p>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807744" behindDoc="0" locked="0" layoutInCell="1" allowOverlap="1">
                <wp:simplePos x="0" y="0"/>
                <wp:positionH relativeFrom="column">
                  <wp:posOffset>1127125</wp:posOffset>
                </wp:positionH>
                <wp:positionV relativeFrom="paragraph">
                  <wp:posOffset>296545</wp:posOffset>
                </wp:positionV>
                <wp:extent cx="563880" cy="450215"/>
                <wp:effectExtent l="7620" t="5080" r="9525" b="11430"/>
                <wp:wrapNone/>
                <wp:docPr id="59" name="自选图形 17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563880" cy="450215"/>
                        </a:xfrm>
                        <a:prstGeom prst="straightConnector1">
                          <a:avLst/>
                        </a:prstGeom>
                        <a:noFill/>
                        <a:ln w="9525">
                          <a:solidFill>
                            <a:srgbClr val="000000"/>
                          </a:solidFill>
                          <a:round/>
                        </a:ln>
                        <a:effectLst/>
                      </wps:spPr>
                      <wps:bodyPr/>
                    </wps:wsp>
                  </a:graphicData>
                </a:graphic>
              </wp:anchor>
            </w:drawing>
          </mc:Choice>
          <mc:Fallback>
            <w:pict>
              <v:shape id="自选图形 174" o:spid="_x0000_s1026" o:spt="32" type="#_x0000_t32" style="position:absolute;left:0pt;flip:x y;margin-left:88.75pt;margin-top:23.35pt;height:35.45pt;width:44.4pt;z-index:251807744;mso-width-relative:page;mso-height-relative:page;" filled="f" stroked="t" coordsize="21600,21600" o:gfxdata="UEsFBgAAAAAAAAAAAAAAAAAAAAAAAFBLAwQKAAAAAACHTuJAAAAAAAAAAAAAAAAABAAAAGRycy9Q&#10;SwMEFAAAAAgAh07iQPQyBULYAAAACgEAAA8AAABkcnMvZG93bnJldi54bWxNj8FOwzAQRO9I/IO1&#10;SFwQdVLARiFOD0hUVBwQLeLsxEsSEa+j2G0KX8/2BMfRjN6+LVdHP4gDTrEPZCBfZCCQmuB6ag28&#10;756u70HEZMnZIRAa+MYIq+r8rLSFCzO94WGbWsEQioU10KU0FlLGpkNv4yKMSNx9hsnbxHFqpZvs&#10;zHA/yGWWKeltT3yhsyM+dth8bffewK3a1eu5wY2Wrz+ze3n+WG+uvDGXF3n2ACLhMf2N4aTP6lCx&#10;Ux325KIYOGt9x9MTTIPgwVKpGxA1N7lWIKtS/n+h+gVQSwMEFAAAAAgAh07iQK3qqwHqAQAAmQMA&#10;AA4AAABkcnMvZTJvRG9jLnhtbK1TwY7TMBC9I/EPlu80Sdks3ajpHrpaOCxQaRfuru0kFo7HGrtN&#10;e+OG+AZue+Qf4G9Wgr/AdrNdFm6IHKxMxu/NmzeT+fmu12Qr0SkwNS0mOSXScBDKtDV9d3P5bEaJ&#10;88wIpsHImu6lo+eLp0/mg63kFDrQQiIJJMZVg61p572tsszxTvbMTcBKE5INYM98CLHNBLIhsPc6&#10;m+b5aTYACovApXPh68UhSReJv2kk92+bxklPdE2DNp9OTOc6ntlizqoWme0UH2Wwf1DRM2VC0SPV&#10;BfOMbFD9RdUrjuCg8RMOfQZNo7hMPYRuivyPbq47ZmXqJZjj7NEm9/9o+ZvtCokSNS3PKDGsDzP6&#10;8enrz4+f7758v/t2S4oXJ9Gkwboq3F2aFcY2+c5c2yvgHxwxsOyYaWUSe7O3gcDjRkZQ9ggVA2dD&#10;tfXwGkS4xjYekmm7BnvSaGVfjdgUvB+DWC8YRXZpavvj1OTOEx4+lqfPZ7MwWx5SJ2U+LcpUm1WR&#10;NoItOv9SQk/iS02dR6bazi/BmLAfgEUSwbZXzkfRD4AINnCptE5rog0ZanpWTssEcKCViMl4zWG7&#10;XmokWxYXLT2jikfXEDZGHIpoE3Ey7ehY+d6hg91rEPsV3tsY5p+0jbsaF+z3OJn98Ect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0MgVC2AAAAAoBAAAPAAAAAAAAAAEAIAAAADgAAABkcnMvZG93&#10;bnJldi54bWxQSwECFAAUAAAACACHTuJAreqrAeoBAACZ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4-6  </w:t>
      </w:r>
      <w:r>
        <w:rPr>
          <w:rFonts w:hint="eastAsia" w:ascii="仿宋" w:hAnsi="仿宋" w:eastAsia="仿宋" w:cs="仿宋"/>
          <w:b/>
          <w:bCs/>
          <w:sz w:val="24"/>
          <w:szCs w:val="24"/>
          <w:u w:color="000000"/>
        </w:rPr>
        <w:t xml:space="preserve">  头道桥镇三级公共服务项目用地影响因素指标说明表</w:t>
      </w:r>
    </w:p>
    <w:tbl>
      <w:tblPr>
        <w:tblStyle w:val="37"/>
        <w:tblW w:w="9231" w:type="dxa"/>
        <w:jc w:val="center"/>
        <w:tblLayout w:type="fixed"/>
        <w:tblCellMar>
          <w:top w:w="0" w:type="dxa"/>
          <w:left w:w="0" w:type="dxa"/>
          <w:bottom w:w="0" w:type="dxa"/>
          <w:right w:w="0" w:type="dxa"/>
        </w:tblCellMar>
      </w:tblPr>
      <w:tblGrid>
        <w:gridCol w:w="421"/>
        <w:gridCol w:w="992"/>
        <w:gridCol w:w="1389"/>
        <w:gridCol w:w="1287"/>
        <w:gridCol w:w="1287"/>
        <w:gridCol w:w="1285"/>
        <w:gridCol w:w="1287"/>
        <w:gridCol w:w="1283"/>
      </w:tblGrid>
      <w:tr>
        <w:tblPrEx>
          <w:tblCellMar>
            <w:top w:w="0" w:type="dxa"/>
            <w:left w:w="0" w:type="dxa"/>
            <w:bottom w:w="0" w:type="dxa"/>
            <w:right w:w="0" w:type="dxa"/>
          </w:tblCellMar>
        </w:tblPrEx>
        <w:trPr>
          <w:trHeight w:val="20" w:hRule="atLeast"/>
          <w:jc w:val="center"/>
        </w:trPr>
        <w:tc>
          <w:tcPr>
            <w:tcW w:w="28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ind w:firstLine="1785" w:firstLineChars="850"/>
              <w:jc w:val="right"/>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5936" behindDoc="0" locked="0" layoutInCell="1" allowOverlap="1">
                      <wp:simplePos x="0" y="0"/>
                      <wp:positionH relativeFrom="column">
                        <wp:posOffset>635</wp:posOffset>
                      </wp:positionH>
                      <wp:positionV relativeFrom="paragraph">
                        <wp:posOffset>170180</wp:posOffset>
                      </wp:positionV>
                      <wp:extent cx="1752600" cy="368935"/>
                      <wp:effectExtent l="0" t="0" r="19050" b="31115"/>
                      <wp:wrapNone/>
                      <wp:docPr id="93" name="自选图形 17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52600" cy="368935"/>
                              </a:xfrm>
                              <a:prstGeom prst="straightConnector1">
                                <a:avLst/>
                              </a:prstGeom>
                              <a:noFill/>
                              <a:ln w="9525">
                                <a:solidFill>
                                  <a:srgbClr val="000000"/>
                                </a:solidFill>
                                <a:round/>
                              </a:ln>
                              <a:effectLst/>
                            </wps:spPr>
                            <wps:bodyPr/>
                          </wps:wsp>
                        </a:graphicData>
                      </a:graphic>
                    </wp:anchor>
                  </w:drawing>
                </mc:Choice>
                <mc:Fallback>
                  <w:pict>
                    <v:shape id="自选图形 175" o:spid="_x0000_s1026" o:spt="32" type="#_x0000_t32" style="position:absolute;left:0pt;flip:x y;margin-left:0.05pt;margin-top:13.4pt;height:29.05pt;width:138pt;z-index:251815936;mso-width-relative:page;mso-height-relative:page;" filled="f" stroked="t" coordsize="21600,21600" o:gfxdata="UEsFBgAAAAAAAAAAAAAAAAAAAAAAAFBLAwQKAAAAAACHTuJAAAAAAAAAAAAAAAAABAAAAGRycy9Q&#10;SwMEFAAAAAgAh07iQPCLPd/VAAAABgEAAA8AAABkcnMvZG93bnJldi54bWxNjk9Lw0AQxe+C32EZ&#10;wYvYTUNJa8ymB8Fi8SC24nmSHZNgdjZkt0310zs92eP7w3u/Yn1yvTrSGDrPBuazBBRx7W3HjYGP&#10;/fP9ClSIyBZ7z2TghwKsy+urAnPrJ36n4y42SkY45GigjXHItQ51Sw7DzA/Ekn350WEUOTbajjjJ&#10;uOt1miSZdtixPLQ40FNL9ffu4Awssn21mWraLvXb72RfXz432ztnzO3NPHkEFekU/8twxhd0KIWp&#10;8ge2QfVnraKBNBN+SdNlJkZlYLV4AF0W+hK//ANQSwMEFAAAAAgAh07iQB06Ra7qAQAAmgMAAA4A&#10;AABkcnMvZTJvRG9jLnhtbK1TwY7TMBC9I/EPlu80aauW3ajpHrpaOCxQaRfuruMkFo7HGrtNe+OG&#10;+AZuHPkH+JuV4C8Yu9nuAjdEDlYm4/fmzZvJ4mLfGbZT6DXYko9HOWfKSqi0bUr+9vbq2RlnPghb&#10;CQNWlfygPL9YPn2y6F2hJtCCqRQyIrG+6F3J2xBckWVetqoTfgROWUrWgJ0IFGKTVSh6Yu9MNsnz&#10;edYDVg5BKu/p6+UxyZeJv66VDG/q2qvATMlJW0gnpnMTz2y5EEWDwrVaDjLEP6johLZU9ER1KYJg&#10;W9R/UXVaIniow0hCl0Fda6lSD9TNOP+jm5tWOJV6IXO8O9nk/x+tfL1bI9NVyc+nnFnR0Yx+fPz6&#10;88Onu8/f7759YePns2hS73xBd1d2jbFNubc37hrke88srFphG5XE3h4cEQTcqgjKfkPFwDuqtulf&#10;QUXXxDZAMm1fY8dqo93LAZuCd0MQ65FRbJ+mdjhNTe0Dk/SRFE7mOQ1XUm46PzufJsWZKCJvRDv0&#10;4YWCjsWXkvuAQjdtWIG1tCCA46RC7K59iKofABFs4Uobk/bEWNaTUbPJLAE8GF3FZLzmsdmsDLKd&#10;iJuWnmQBZR5fQ9ja6ljE2IhTaUmHyvcWHf3eQHVY472PtABJ27CsccMex8nth19q+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wiz3f1QAAAAYBAAAPAAAAAAAAAAEAIAAAADgAAABkcnMvZG93bnJl&#10;di54bWxQSwECFAAUAAAACACHTuJAHTpFruoBAACaAwAADgAAAAAAAAABACAAAAA6AQAAZHJzL2Uy&#10;b0RvYy54bWxQSwUGAAAAAAYABgBZAQAAlg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42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21"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40</w:t>
            </w:r>
            <w:r>
              <w:rPr>
                <w:rFonts w:hint="eastAsia" w:ascii="仿宋" w:hAnsi="仿宋" w:eastAsia="仿宋"/>
                <w:color w:val="000000"/>
                <w:kern w:val="0"/>
                <w:sz w:val="21"/>
                <w:szCs w:val="21"/>
                <w:u w:color="000000"/>
              </w:rPr>
              <w:t>0米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邻近生活</w:t>
            </w:r>
          </w:p>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型主干道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邻近混合型主干道</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邻近混合型、生活型次干道</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邻近交通型主、次干道</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邻近支路及规划道路</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top w:val="nil"/>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180</w:t>
            </w:r>
            <w:r>
              <w:rPr>
                <w:rFonts w:hint="eastAsia" w:ascii="仿宋" w:hAnsi="仿宋" w:eastAsia="仿宋"/>
                <w:color w:val="000000"/>
                <w:kern w:val="0"/>
                <w:sz w:val="21"/>
                <w:szCs w:val="21"/>
                <w:u w:color="000000"/>
              </w:rPr>
              <w:t>0)米</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1800</w:t>
            </w:r>
            <w:r>
              <w:rPr>
                <w:rFonts w:hint="eastAsia" w:ascii="仿宋" w:hAnsi="仿宋" w:eastAsia="仿宋"/>
                <w:color w:val="000000"/>
                <w:kern w:val="0"/>
                <w:sz w:val="21"/>
                <w:szCs w:val="21"/>
                <w:u w:color="000000"/>
              </w:rPr>
              <w:t>米</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5"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7"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3"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500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1100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1300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＞1</w:t>
            </w:r>
            <w:r>
              <w:rPr>
                <w:rFonts w:ascii="仿宋" w:hAnsi="仿宋" w:eastAsia="仿宋"/>
                <w:color w:val="000000"/>
                <w:kern w:val="0"/>
                <w:sz w:val="21"/>
                <w:szCs w:val="21"/>
                <w:u w:color="000000"/>
              </w:rPr>
              <w:t>900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1500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1500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1700</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1900</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ascii="仿宋" w:hAnsi="仿宋" w:eastAsia="仿宋"/>
                <w:color w:val="000000"/>
                <w:kern w:val="0"/>
                <w:sz w:val="21"/>
                <w:szCs w:val="21"/>
                <w:u w:color="000000"/>
              </w:rPr>
              <w:t>1900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21000</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2100</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空气质量好，无污染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空气质量较好，基本无污染</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空气质量一般，轻度污染</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有噪音、粉尘或空气异味污染</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噪音、粉尘或空气异味污染较明显</w:t>
            </w:r>
          </w:p>
        </w:tc>
      </w:tr>
      <w:tr>
        <w:tblPrEx>
          <w:tblCellMar>
            <w:top w:w="0" w:type="dxa"/>
            <w:left w:w="0" w:type="dxa"/>
            <w:bottom w:w="0" w:type="dxa"/>
            <w:right w:w="0" w:type="dxa"/>
          </w:tblCellMar>
        </w:tblPrEx>
        <w:trPr>
          <w:trHeight w:val="20" w:hRule="atLeast"/>
          <w:jc w:val="center"/>
        </w:trPr>
        <w:tc>
          <w:tcPr>
            <w:tcW w:w="421" w:type="dxa"/>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人口密度（人/平方千米）</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500</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400-500</w:t>
            </w:r>
            <w:r>
              <w:rPr>
                <w:rFonts w:hint="eastAsia" w:ascii="仿宋" w:hAnsi="仿宋" w:eastAsia="仿宋"/>
                <w:color w:val="000000"/>
                <w:kern w:val="0"/>
                <w:sz w:val="21"/>
                <w:szCs w:val="21"/>
                <w:u w:color="000000"/>
              </w:rPr>
              <w:t>）</w:t>
            </w:r>
          </w:p>
        </w:tc>
        <w:tc>
          <w:tcPr>
            <w:tcW w:w="1285"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300-400</w:t>
            </w:r>
            <w:r>
              <w:rPr>
                <w:rFonts w:hint="eastAsia" w:ascii="仿宋" w:hAnsi="仿宋" w:eastAsia="仿宋"/>
                <w:color w:val="000000"/>
                <w:kern w:val="0"/>
                <w:sz w:val="21"/>
                <w:szCs w:val="21"/>
                <w:u w:color="000000"/>
              </w:rPr>
              <w:t>）</w:t>
            </w:r>
          </w:p>
        </w:tc>
        <w:tc>
          <w:tcPr>
            <w:tcW w:w="1287"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200-300</w:t>
            </w:r>
            <w:r>
              <w:rPr>
                <w:rFonts w:hint="eastAsia" w:ascii="仿宋" w:hAnsi="仿宋" w:eastAsia="仿宋"/>
                <w:color w:val="000000"/>
                <w:kern w:val="0"/>
                <w:sz w:val="21"/>
                <w:szCs w:val="21"/>
                <w:u w:color="000000"/>
              </w:rPr>
              <w:t>）</w:t>
            </w:r>
          </w:p>
        </w:tc>
        <w:tc>
          <w:tcPr>
            <w:tcW w:w="1283"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&lt;</w:t>
            </w:r>
            <w:r>
              <w:rPr>
                <w:rFonts w:ascii="仿宋" w:hAnsi="仿宋" w:eastAsia="仿宋"/>
                <w:color w:val="000000"/>
                <w:kern w:val="0"/>
                <w:sz w:val="21"/>
                <w:szCs w:val="21"/>
                <w:u w:color="000000"/>
              </w:rPr>
              <w:t>200</w:t>
            </w:r>
          </w:p>
        </w:tc>
      </w:tr>
      <w:tr>
        <w:tblPrEx>
          <w:tblCellMar>
            <w:top w:w="0" w:type="dxa"/>
            <w:left w:w="0" w:type="dxa"/>
            <w:bottom w:w="0" w:type="dxa"/>
            <w:right w:w="0" w:type="dxa"/>
          </w:tblCellMar>
        </w:tblPrEx>
        <w:trPr>
          <w:trHeight w:val="20" w:hRule="atLeast"/>
          <w:jc w:val="center"/>
        </w:trPr>
        <w:tc>
          <w:tcPr>
            <w:tcW w:w="1413" w:type="dxa"/>
            <w:gridSpan w:val="2"/>
            <w:vMerge w:val="restart"/>
            <w:tcBorders>
              <w:top w:val="single" w:color="auto" w:sz="4" w:space="0"/>
              <w:left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389" w:type="dxa"/>
            <w:tcBorders>
              <w:top w:val="single" w:color="auto" w:sz="4" w:space="0"/>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CellMar>
            <w:top w:w="0" w:type="dxa"/>
            <w:left w:w="0" w:type="dxa"/>
            <w:bottom w:w="0" w:type="dxa"/>
            <w:right w:w="0" w:type="dxa"/>
          </w:tblCellMar>
        </w:tblPrEx>
        <w:trPr>
          <w:trHeight w:val="20" w:hRule="atLeast"/>
          <w:jc w:val="center"/>
        </w:trPr>
        <w:tc>
          <w:tcPr>
            <w:tcW w:w="1413" w:type="dxa"/>
            <w:gridSpan w:val="2"/>
            <w:vMerge w:val="continue"/>
            <w:tcBorders>
              <w:left w:val="single" w:color="auto" w:sz="4" w:space="0"/>
              <w:bottom w:val="single" w:color="auto" w:sz="4" w:space="0"/>
              <w:right w:val="single" w:color="auto" w:sz="4" w:space="0"/>
            </w:tcBorders>
            <w:vAlign w:val="center"/>
          </w:tcPr>
          <w:p>
            <w:pPr>
              <w:spacing w:line="280" w:lineRule="exact"/>
              <w:ind w:firstLine="0" w:firstLineChars="0"/>
              <w:jc w:val="both"/>
              <w:rPr>
                <w:rFonts w:ascii="仿宋" w:hAnsi="仿宋" w:eastAsia="仿宋"/>
                <w:color w:val="000000"/>
                <w:kern w:val="0"/>
                <w:sz w:val="21"/>
                <w:szCs w:val="21"/>
                <w:u w:color="000000"/>
              </w:rPr>
            </w:pPr>
          </w:p>
        </w:tc>
        <w:tc>
          <w:tcPr>
            <w:tcW w:w="1389"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5"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7"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3" w:type="dxa"/>
            <w:tcBorders>
              <w:top w:val="nil"/>
              <w:left w:val="nil"/>
              <w:bottom w:val="single" w:color="auto" w:sz="4" w:space="0"/>
              <w:right w:val="single" w:color="auto" w:sz="4" w:space="0"/>
            </w:tcBorders>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tbl>
    <w:p>
      <w:pPr>
        <w:tabs>
          <w:tab w:val="left" w:pos="705"/>
        </w:tabs>
        <w:ind w:firstLine="0" w:firstLineChars="0"/>
        <w:jc w:val="center"/>
        <w:rPr>
          <w:rFonts w:ascii="仿宋" w:hAnsi="仿宋" w:eastAsia="仿宋" w:cs="仿宋"/>
          <w:b/>
          <w:bCs/>
          <w:sz w:val="24"/>
          <w:szCs w:val="24"/>
          <w:u w:color="000000"/>
        </w:rPr>
      </w:pPr>
    </w:p>
    <w:p>
      <w:pPr>
        <w:tabs>
          <w:tab w:val="left" w:pos="705"/>
        </w:tabs>
        <w:ind w:firstLine="0" w:firstLineChars="0"/>
        <w:jc w:val="center"/>
        <w:rPr>
          <w:rFonts w:ascii="仿宋" w:hAnsi="仿宋" w:eastAsia="仿宋" w:cs="仿宋"/>
          <w:b/>
          <w:bCs/>
          <w:sz w:val="24"/>
          <w:szCs w:val="24"/>
          <w:u w:color="000000"/>
        </w:rPr>
      </w:pPr>
    </w:p>
    <w:p>
      <w:pPr>
        <w:ind w:firstLine="0" w:firstLineChars="0"/>
        <w:jc w:val="both"/>
        <w:rPr>
          <w:rFonts w:eastAsia="仿宋"/>
          <w:color w:val="000000"/>
          <w:kern w:val="0"/>
          <w:szCs w:val="21"/>
          <w:u w:color="000000"/>
        </w:rPr>
      </w:pPr>
    </w:p>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806720" behindDoc="0" locked="0" layoutInCell="1" allowOverlap="1">
                <wp:simplePos x="0" y="0"/>
                <wp:positionH relativeFrom="column">
                  <wp:posOffset>843280</wp:posOffset>
                </wp:positionH>
                <wp:positionV relativeFrom="paragraph">
                  <wp:posOffset>300990</wp:posOffset>
                </wp:positionV>
                <wp:extent cx="971550" cy="552450"/>
                <wp:effectExtent l="0" t="0" r="19050" b="19050"/>
                <wp:wrapNone/>
                <wp:docPr id="61" name="自选图形 17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71550" cy="552450"/>
                        </a:xfrm>
                        <a:prstGeom prst="straightConnector1">
                          <a:avLst/>
                        </a:prstGeom>
                        <a:noFill/>
                        <a:ln w="9525">
                          <a:solidFill>
                            <a:srgbClr val="000000"/>
                          </a:solidFill>
                          <a:round/>
                        </a:ln>
                        <a:effectLst/>
                      </wps:spPr>
                      <wps:bodyPr/>
                    </wps:wsp>
                  </a:graphicData>
                </a:graphic>
              </wp:anchor>
            </w:drawing>
          </mc:Choice>
          <mc:Fallback>
            <w:pict>
              <v:shape id="自选图形 171" o:spid="_x0000_s1026" o:spt="32" type="#_x0000_t32" style="position:absolute;left:0pt;flip:x y;margin-left:66.4pt;margin-top:23.7pt;height:43.5pt;width:76.5pt;z-index:251806720;mso-width-relative:page;mso-height-relative:page;" filled="f" stroked="t" coordsize="21600,21600" o:gfxdata="UEsFBgAAAAAAAAAAAAAAAAAAAAAAAFBLAwQKAAAAAACHTuJAAAAAAAAAAAAAAAAABAAAAGRycy9Q&#10;SwMEFAAAAAgAh07iQPFgyMjYAAAACgEAAA8AAABkcnMvZG93bnJldi54bWxNj8FOwzAQRO9I/IO1&#10;SFwQdRpCW4U4PSBRUXFAtIjzJl6SiHgdxW5T+Hq2JzjOzmj2TbE+uV4daQydZwPzWQKKuPa248bA&#10;+/7pdgUqRGSLvWcy8E0B1uXlRYG59RO/0XEXGyUlHHI00MY45FqHuiWHYeYHYvE+/egwihwbbUec&#10;pNz1Ok2ShXbYsXxocaDHluqv3cEZyBb7ajPVtF3q15/Jvjx/bLY3zpjrq3nyACrSKf6F4Ywv6FAK&#10;U+UPbIPqRd+lgh6lbJmBkkC6updDdXayDHRZ6P8Tyl9QSwMEFAAAAAgAh07iQDpaPvLoAQAAmQMA&#10;AA4AAABkcnMvZTJvRG9jLnhtbK1TzY7TMBC+I/EOlu80TUV2IWq6h64WDgtU2l3uruMkFo7HGrtN&#10;e+OGeAZuHPcd4G1WYt+CsZstLNwQOYw8P983v5mf7XrDtgq9BlvxfDLlTFkJtbZtxW+uL5694MwH&#10;YWthwKqK75XnZ4unT+aDK9UMOjC1QkYk1peDq3gXgiuzzMtO9cJPwClLzgawF4FUbLMaxUDsvclm&#10;0+lJNgDWDkEq78l6fnDyReJvGiXDu6bxKjBTcaotJIlJrqPMFnNRtihcp+VYhviHKnqhLSU9Up2L&#10;INgG9V9UvZYIHpowkdBn0DRaqtQDdZNP/+jmqhNOpV5oON4dx+T/H618u10h03XFT3LOrOhpRz8+&#10;3d5//Hz35fvdt68sP83jkAbnS4pd2hXGNuXOXrlLkB88s7DshG1VKvZ674gg4EZFUPYIFRXvKNt6&#10;eAM1hYlNgDS0XYM9a4x2r0dsUt6PSsxHg2K7tLX9cWtqF5gk48vTvChot5JcRTF7Tu+YW5SRNoId&#10;+vBKQc/io+I+oNBtF5ZgLd0HYJ6KENtLHw7AB0AEW7jQxpBdlMaygdIVsyIBPBhdR2f0eWzXS4Ns&#10;K+KhpW+s4lEYwsbWhyTGRpxKNzpmfpjQYdxrqPcrjMHRTvtPTY23Gg/sdz1F/fqj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8WDIyNgAAAAKAQAADwAAAAAAAAABACAAAAA4AAAAZHJzL2Rvd25y&#10;ZXYueG1sUEsBAhQAFAAAAAgAh07iQDpaPvLoAQAAmQMAAA4AAAAAAAAAAQAgAAAAPQ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4-7</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头道桥镇三级公共服务项目用地基准地价修正系数表</w:t>
      </w:r>
    </w:p>
    <w:tbl>
      <w:tblPr>
        <w:tblStyle w:val="37"/>
        <w:tblW w:w="9231" w:type="dxa"/>
        <w:jc w:val="center"/>
        <w:tblLayout w:type="fixed"/>
        <w:tblCellMar>
          <w:top w:w="0" w:type="dxa"/>
          <w:left w:w="0" w:type="dxa"/>
          <w:bottom w:w="0" w:type="dxa"/>
          <w:right w:w="0" w:type="dxa"/>
        </w:tblCellMar>
      </w:tblPr>
      <w:tblGrid>
        <w:gridCol w:w="458"/>
        <w:gridCol w:w="1069"/>
        <w:gridCol w:w="1556"/>
        <w:gridCol w:w="1230"/>
        <w:gridCol w:w="1230"/>
        <w:gridCol w:w="1230"/>
        <w:gridCol w:w="1230"/>
        <w:gridCol w:w="1228"/>
      </w:tblGrid>
      <w:tr>
        <w:tblPrEx>
          <w:tblCellMar>
            <w:top w:w="0" w:type="dxa"/>
            <w:left w:w="0" w:type="dxa"/>
            <w:bottom w:w="0" w:type="dxa"/>
            <w:right w:w="0" w:type="dxa"/>
          </w:tblCellMar>
        </w:tblPrEx>
        <w:trPr>
          <w:trHeight w:val="20" w:hRule="atLeast"/>
          <w:jc w:val="center"/>
        </w:trPr>
        <w:tc>
          <w:tcPr>
            <w:tcW w:w="3083"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ind w:firstLine="1785" w:firstLineChars="850"/>
              <w:jc w:val="right"/>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16960" behindDoc="0" locked="0" layoutInCell="1" allowOverlap="1">
                      <wp:simplePos x="0" y="0"/>
                      <wp:positionH relativeFrom="column">
                        <wp:posOffset>29210</wp:posOffset>
                      </wp:positionH>
                      <wp:positionV relativeFrom="paragraph">
                        <wp:posOffset>57785</wp:posOffset>
                      </wp:positionV>
                      <wp:extent cx="1857375" cy="314325"/>
                      <wp:effectExtent l="0" t="0" r="28575" b="28575"/>
                      <wp:wrapNone/>
                      <wp:docPr id="160" name="自选图形 16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857375" cy="314325"/>
                              </a:xfrm>
                              <a:prstGeom prst="straightConnector1">
                                <a:avLst/>
                              </a:prstGeom>
                              <a:noFill/>
                              <a:ln w="9525">
                                <a:solidFill>
                                  <a:srgbClr val="000000"/>
                                </a:solidFill>
                                <a:round/>
                              </a:ln>
                              <a:effectLst/>
                            </wps:spPr>
                            <wps:bodyPr/>
                          </wps:wsp>
                        </a:graphicData>
                      </a:graphic>
                    </wp:anchor>
                  </w:drawing>
                </mc:Choice>
                <mc:Fallback>
                  <w:pict>
                    <v:shape id="自选图形 169" o:spid="_x0000_s1026" o:spt="32" type="#_x0000_t32" style="position:absolute;left:0pt;flip:x y;margin-left:2.3pt;margin-top:4.55pt;height:24.75pt;width:146.25pt;z-index:251816960;mso-width-relative:page;mso-height-relative:page;" filled="f" stroked="t" coordsize="21600,21600" o:gfxdata="UEsFBgAAAAAAAAAAAAAAAAAAAAAAAFBLAwQKAAAAAACHTuJAAAAAAAAAAAAAAAAABAAAAGRycy9Q&#10;SwMEFAAAAAgAh07iQEUpBEPWAAAABgEAAA8AAABkcnMvZG93bnJldi54bWxNjkFLw0AQhe+C/2EZ&#10;wYvYTYqmbcymB8Fi8SC24nmSHZNgdjZkt0311zs96W0e7/HNV6xPrldHGkPn2UA6S0AR19523Bh4&#10;3z/dLkGFiGyx90wGvinAury8KDC3fuI3Ou5iowTCIUcDbYxDrnWoW3IYZn4glu7Tjw6jxLHRdsRJ&#10;4K7X8yTJtMOO5UOLAz22VH/tDs7AXbavNlNN24V+/Znsy/PHZnvjjLm+SpMHUJFO8W8MZ31Rh1Kc&#10;Kn9gG1R/ZsjQwCoFJe18tZCjMnC/zECXhf6vX/4CUEsDBBQAAAAIAIdO4kAIzU676gEAAJsDAAAO&#10;AAAAZHJzL2Uyb0RvYy54bWytU8GO0zAQvSPxD5bvNE1Lu7tR0z10tXBYYKVduLuOk1g4HmvsNu2N&#10;G+IbuHHkH+BvVoK/YOxmuyzcEDlYmYznvTdvJovzXWfYVqHXYEuej8acKSuh0rYp+dvby2ennPkg&#10;bCUMWFXyvfL8fPn0yaJ3hZpAC6ZSyAjE+qJ3JW9DcEWWedmqTvgROGUpWQN2IlCITVah6Am9M9lk&#10;PJ5nPWDlEKTynr5eHJJ8mfDrWsnwpq69CsyUnLSFdGI61/HMlgtRNChcq+UgQ/yDik5oS6RHqAsR&#10;BNug/guq0xLBQx1GEroM6lpLlXqgbvLxH93ctMKp1AuZ493RJv//YOXr7TUyXdHs5uSPFR0N6cfH&#10;rz8/fLr7/P3u2xeWz8+iS73zBV1e2WuMfcqdvXFXIN97ZmHVCtuopPZ27wgg4EbFouxRVQy8I7p1&#10;/woquiY2AZJruxo7VhvtXg61KXg3BJGPnGK7NLb9cWxqF5ikj/np7GR6MuNMUm6aP59OZolcFBE3&#10;Vjv04YWCjsWXkvuAQjdtWIG1tCGAeVIhtlc+RNUPBbHYwqU2Ji2Ksawv+dmMCGLGg9FVTKYAm/XK&#10;INuKuGrpGVQ8uoawsdWBxNhYp9KWDsz3Fh38XkO1v8Z7H2kDkrZhW+OK/R4ntx/+qe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RSkEQ9YAAAAGAQAADwAAAAAAAAABACAAAAA4AAAAZHJzL2Rvd25y&#10;ZXYueG1sUEsBAhQAFAAAAAgAh07iQAjNTrvqAQAAmwMAAA4AAAAAAAAAAQAgAAAAOwEAAGRycy9l&#10;Mm9Eb2MueG1sUEsFBgAAAAAGAAYAWQEAAJc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3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2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CellMar>
            <w:top w:w="0" w:type="dxa"/>
            <w:left w:w="0" w:type="dxa"/>
            <w:bottom w:w="0" w:type="dxa"/>
            <w:right w:w="0" w:type="dxa"/>
          </w:tblCellMar>
        </w:tblPrEx>
        <w:trPr>
          <w:trHeight w:val="20" w:hRule="atLeast"/>
          <w:jc w:val="center"/>
        </w:trPr>
        <w:tc>
          <w:tcPr>
            <w:tcW w:w="458"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商服</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繁华度</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距商服中心距离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0.0213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距汽车站距离</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-0.0113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0.0115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-0.0088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公用设施</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距幼儿园距离（米）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0.0045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-0.0034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-0.0069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距医院距离（米）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0.0057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0.0029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-0.0022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-0.0044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距银行距离（米）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距公园广场距离（米）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距邮局距离（米）</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0.0033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0.0016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-0.0013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噪声污染</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0.0164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-0.0125 </w:t>
            </w:r>
          </w:p>
        </w:tc>
      </w:tr>
      <w:tr>
        <w:tblPrEx>
          <w:tblCellMar>
            <w:top w:w="0" w:type="dxa"/>
            <w:left w:w="0" w:type="dxa"/>
            <w:bottom w:w="0" w:type="dxa"/>
            <w:right w:w="0" w:type="dxa"/>
          </w:tblCellMar>
        </w:tblPrEx>
        <w:trPr>
          <w:trHeight w:val="20" w:hRule="atLeast"/>
          <w:jc w:val="center"/>
        </w:trPr>
        <w:tc>
          <w:tcPr>
            <w:tcW w:w="458"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人口状况</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客流人口密度</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0.0065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-0.0050 </w:t>
            </w:r>
          </w:p>
        </w:tc>
        <w:tc>
          <w:tcPr>
            <w:tcW w:w="122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-0.0100 </w:t>
            </w:r>
          </w:p>
        </w:tc>
      </w:tr>
      <w:tr>
        <w:tblPrEx>
          <w:tblCellMar>
            <w:top w:w="0" w:type="dxa"/>
            <w:left w:w="0" w:type="dxa"/>
            <w:bottom w:w="0" w:type="dxa"/>
            <w:right w:w="0" w:type="dxa"/>
          </w:tblCellMar>
        </w:tblPrEx>
        <w:trPr>
          <w:trHeight w:val="20" w:hRule="atLeast"/>
          <w:jc w:val="center"/>
        </w:trPr>
        <w:tc>
          <w:tcPr>
            <w:tcW w:w="1527" w:type="dxa"/>
            <w:gridSpan w:val="2"/>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5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r>
        <w:tblPrEx>
          <w:tblCellMar>
            <w:top w:w="0" w:type="dxa"/>
            <w:left w:w="0" w:type="dxa"/>
            <w:bottom w:w="0" w:type="dxa"/>
            <w:right w:w="0" w:type="dxa"/>
          </w:tblCellMar>
        </w:tblPrEx>
        <w:trPr>
          <w:trHeight w:val="20" w:hRule="atLeast"/>
          <w:jc w:val="center"/>
        </w:trPr>
        <w:tc>
          <w:tcPr>
            <w:tcW w:w="1527" w:type="dxa"/>
            <w:gridSpan w:val="2"/>
            <w:vMerge w:val="continue"/>
            <w:tcBorders>
              <w:left w:val="single" w:color="auto" w:sz="4" w:space="0"/>
              <w:bottom w:val="single" w:color="auto" w:sz="4" w:space="0"/>
              <w:right w:val="single" w:color="auto" w:sz="4" w:space="0"/>
            </w:tcBorders>
            <w:vAlign w:val="center"/>
          </w:tcPr>
          <w:p>
            <w:pPr>
              <w:spacing w:line="240" w:lineRule="auto"/>
              <w:ind w:firstLine="0" w:firstLineChars="0"/>
              <w:jc w:val="both"/>
              <w:rPr>
                <w:rFonts w:ascii="仿宋" w:hAnsi="仿宋" w:eastAsia="仿宋"/>
                <w:color w:val="000000"/>
                <w:kern w:val="0"/>
                <w:sz w:val="21"/>
                <w:szCs w:val="21"/>
                <w:u w:color="000000"/>
              </w:rPr>
            </w:pPr>
          </w:p>
        </w:tc>
        <w:tc>
          <w:tcPr>
            <w:tcW w:w="1556"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0.0082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0.0041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30"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-0.0031 </w:t>
            </w:r>
          </w:p>
        </w:tc>
        <w:tc>
          <w:tcPr>
            <w:tcW w:w="1228" w:type="dxa"/>
            <w:tcBorders>
              <w:top w:val="nil"/>
              <w:left w:val="nil"/>
              <w:bottom w:val="single" w:color="auto" w:sz="4" w:space="0"/>
              <w:right w:val="single" w:color="auto" w:sz="4" w:space="0"/>
            </w:tcBorders>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-0.0063 </w:t>
            </w:r>
          </w:p>
        </w:tc>
      </w:tr>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snapToGrid w:val="0"/>
        <w:spacing w:line="240" w:lineRule="auto"/>
        <w:ind w:firstLine="0" w:firstLineChars="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w:t>
      </w:r>
      <w:r>
        <w:rPr>
          <w:rFonts w:ascii="仿宋" w:hAnsi="仿宋" w:eastAsia="仿宋" w:cs="仿宋"/>
          <w:color w:val="000000"/>
          <w:kern w:val="0"/>
          <w:szCs w:val="28"/>
          <w:u w:color="000000"/>
        </w:rPr>
        <w:t>.</w:t>
      </w:r>
      <w:r>
        <w:rPr>
          <w:rFonts w:hint="eastAsia" w:ascii="仿宋" w:hAnsi="仿宋" w:eastAsia="仿宋" w:cs="仿宋"/>
          <w:color w:val="000000"/>
          <w:kern w:val="0"/>
          <w:szCs w:val="28"/>
          <w:u w:color="000000"/>
        </w:rPr>
        <w:t>能源、环境保护、供水、燃气供应、供热设施等公共服务项目用地修正体系</w:t>
      </w:r>
    </w:p>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4-8</w:t>
      </w:r>
      <w:r>
        <w:rPr>
          <w:rFonts w:hint="eastAsia" w:ascii="仿宋" w:hAnsi="仿宋" w:eastAsia="仿宋" w:cs="仿宋"/>
          <w:b/>
          <w:bCs/>
          <w:sz w:val="24"/>
          <w:szCs w:val="24"/>
          <w:u w:color="000000"/>
        </w:rPr>
        <w:t xml:space="preserve"> </w:t>
      </w:r>
      <w:r>
        <w:rPr>
          <w:rFonts w:ascii="仿宋" w:hAnsi="仿宋" w:eastAsia="仿宋" w:cs="仿宋"/>
          <w:b/>
          <w:bCs/>
          <w:sz w:val="24"/>
          <w:szCs w:val="24"/>
          <w:u w:color="000000"/>
        </w:rPr>
        <w:t xml:space="preserve">  </w:t>
      </w:r>
      <w:r>
        <w:rPr>
          <w:rFonts w:hint="eastAsia" w:ascii="仿宋" w:hAnsi="仿宋" w:eastAsia="仿宋" w:cs="仿宋"/>
          <w:b/>
          <w:bCs/>
          <w:sz w:val="24"/>
          <w:szCs w:val="24"/>
          <w:u w:color="000000"/>
        </w:rPr>
        <w:t xml:space="preserve"> 头道桥镇一级公共服务项目用地影响因素指标说明表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79"/>
        <w:gridCol w:w="709"/>
        <w:gridCol w:w="1417"/>
        <w:gridCol w:w="1418"/>
        <w:gridCol w:w="1275"/>
        <w:gridCol w:w="1418"/>
        <w:gridCol w:w="143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405"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bookmarkStart w:id="72" w:name="_Hlk99023326"/>
            <w:r>
              <w:rPr>
                <w:rFonts w:ascii="仿宋" w:hAnsi="仿宋" w:eastAsia="仿宋"/>
                <w:color w:val="000000"/>
                <w:kern w:val="0"/>
                <w:sz w:val="21"/>
                <w:szCs w:val="21"/>
                <w:u w:color="000000"/>
              </w:rPr>
              <mc:AlternateContent>
                <mc:Choice Requires="wps">
                  <w:drawing>
                    <wp:anchor distT="0" distB="0" distL="114300" distR="114300" simplePos="0" relativeHeight="251821056" behindDoc="0" locked="0" layoutInCell="1" allowOverlap="1">
                      <wp:simplePos x="0" y="0"/>
                      <wp:positionH relativeFrom="column">
                        <wp:posOffset>699770</wp:posOffset>
                      </wp:positionH>
                      <wp:positionV relativeFrom="paragraph">
                        <wp:posOffset>-33020</wp:posOffset>
                      </wp:positionV>
                      <wp:extent cx="790575" cy="514350"/>
                      <wp:effectExtent l="0" t="0" r="28575" b="19050"/>
                      <wp:wrapNone/>
                      <wp:docPr id="170" name="自选图形 141"/>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90575" cy="514350"/>
                              </a:xfrm>
                              <a:prstGeom prst="straightConnector1">
                                <a:avLst/>
                              </a:prstGeom>
                              <a:noFill/>
                              <a:ln w="9525">
                                <a:solidFill>
                                  <a:srgbClr val="000000"/>
                                </a:solidFill>
                                <a:round/>
                              </a:ln>
                              <a:effectLst/>
                            </wps:spPr>
                            <wps:bodyPr/>
                          </wps:wsp>
                        </a:graphicData>
                      </a:graphic>
                    </wp:anchor>
                  </w:drawing>
                </mc:Choice>
                <mc:Fallback>
                  <w:pict>
                    <v:shape id="自选图形 141" o:spid="_x0000_s1026" o:spt="32" type="#_x0000_t32" style="position:absolute;left:0pt;flip:x y;margin-left:55.1pt;margin-top:-2.6pt;height:40.5pt;width:62.25pt;z-index:251821056;mso-width-relative:page;mso-height-relative:page;" filled="f" stroked="t" coordsize="21600,21600" o:gfxdata="UEsFBgAAAAAAAAAAAAAAAAAAAAAAAFBLAwQKAAAAAACHTuJAAAAAAAAAAAAAAAAABAAAAGRycy9Q&#10;SwMEFAAAAAgAh07iQLjnaVXaAAAACQEAAA8AAABkcnMvZG93bnJldi54bWxNj8FOwzAMhu9IvENk&#10;JC5oS1q2dSpNd0BiYuIwsSHOaWPaisapmmwdPD3mBCfrlz/9/lxsLq4XZxxD50lDMlcgkGpvO2o0&#10;vB2fZmsQIRqypveEGr4wwKa8vipMbv1Er3g+xEZwCYXcaGhjHHIpQ92iM2HuByTeffjRmchxbKQd&#10;zcTlrpepUivpTEd8oTUDPrZYfx5OTsNiday2U427TO6/J/vy/L7d3Tmtb28S9QAi4iX+wfCrz+pQ&#10;slPlT2SD6DknKmVUw2zJk4H0fpGBqDRkyzXIspD/Pyh/AFBLAwQUAAAACACHTuJAVM271+sBAACa&#10;AwAADgAAAGRycy9lMm9Eb2MueG1srVPBbhMxEL0j8Q+W72SzoUvoKpseUhUOBSK1cHe83l0Lr8ca&#10;O9nkxg3xDdw48g/wN5XoX3TspGmBG2IP1o5n3puZN+PZ2bY3bKPQa7AVz0djzpSVUGvbVvz99cWz&#10;l5z5IGwtDFhV8Z3y/Gz+9MlscKWaQAemVsiIxPpycBXvQnBllnnZqV74EThlydkA9iKQiW1WoxiI&#10;vTfZZDx+kQ2AtUOQynu6Pd87+TzxN42S4V3TeBWYqTjVFtKJ6VzFM5vPRNmicJ2WhzLEP1TRC20p&#10;6ZHqXATB1qj/ouq1RPDQhJGEPoOm0VKlHqibfPxHN1edcCr1QuJ4d5TJ/z9a+XazRKZrmt2U9LGi&#10;pyH9+vz99tOXm68/b358Y/lJHlUanC8peGGXGPuUW3vlLkF+9MzCohO2Vana650jgoBrFUHZb6ho&#10;eEfpVsMbqClMrAMk1bYN9qwx2r0+YJPx4WDEfKQU26ax7Y5jU9vAJF1OT8fFtOBMkqvIT54XaayZ&#10;KCNtBDv04ZWCnsWfivuAQrddWIC1tCCAeSpCbC59iEU/ACLYwoU2Ju2JsWyo+GkxKRLAg9F1dMYw&#10;j+1qYZBtRNy09CUFyPM4DGFt630SYyNOpSU9ZL5XaC/3CurdEu9lpAVItR2WNW7YYzuJ/fCk5n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452lV2gAAAAkBAAAPAAAAAAAAAAEAIAAAADgAAABkcnMv&#10;ZG93bnJldi54bWxQSwECFAAUAAAACACHTuJAVM271+sBAACa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22080" behindDoc="0" locked="0" layoutInCell="1" allowOverlap="1">
                      <wp:simplePos x="0" y="0"/>
                      <wp:positionH relativeFrom="column">
                        <wp:posOffset>-42545</wp:posOffset>
                      </wp:positionH>
                      <wp:positionV relativeFrom="paragraph">
                        <wp:posOffset>55245</wp:posOffset>
                      </wp:positionV>
                      <wp:extent cx="1514475" cy="257175"/>
                      <wp:effectExtent l="0" t="0" r="28575" b="28575"/>
                      <wp:wrapNone/>
                      <wp:docPr id="176" name="自选图形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514475" cy="257175"/>
                              </a:xfrm>
                              <a:prstGeom prst="straightConnector1">
                                <a:avLst/>
                              </a:prstGeom>
                              <a:noFill/>
                              <a:ln w="9525">
                                <a:solidFill>
                                  <a:srgbClr val="000000"/>
                                </a:solidFill>
                                <a:round/>
                              </a:ln>
                              <a:effectLst/>
                            </wps:spPr>
                            <wps:bodyPr/>
                          </wps:wsp>
                        </a:graphicData>
                      </a:graphic>
                    </wp:anchor>
                  </w:drawing>
                </mc:Choice>
                <mc:Fallback>
                  <w:pict>
                    <v:shape id="自选图形 142" o:spid="_x0000_s1026" o:spt="32" type="#_x0000_t32" style="position:absolute;left:0pt;flip:x y;margin-left:-3.35pt;margin-top:4.35pt;height:20.25pt;width:119.25pt;z-index:251822080;mso-width-relative:page;mso-height-relative:page;" filled="f" stroked="t" coordsize="21600,21600" o:gfxdata="UEsFBgAAAAAAAAAAAAAAAAAAAAAAAFBLAwQKAAAAAACHTuJAAAAAAAAAAAAAAAAABAAAAGRycy9Q&#10;SwMEFAAAAAgAh07iQBauwWHYAAAABwEAAA8AAABkcnMvZG93bnJldi54bWxNj8FOwkAQhu8mvsNm&#10;TLgY2LaYArVbDiYSiAciGM/b7tA2dmeb7kLBp3c86Wky+f98802+vtpOXHDwrSMF8SwCgVQ501Kt&#10;4OP4Ol2C8EGT0Z0jVHBDD+vi/i7XmXEjvePlEGrBEPKZVtCE0GdS+qpBq/3M9UicndxgdeB1qKUZ&#10;9Mhw28kkilJpdUt8odE9vjRYfR3OVsFTeiw3Y4W7hdx/j+Zt+7nZPVqlJg9x9Awi4DX8leFXn9Wh&#10;YKfSncl40SmYpgtuKljy4DiZx/xJyexVArLI5X//4gdQSwMEFAAAAAgAh07iQAchILHqAQAAmwMA&#10;AA4AAABkcnMvZTJvRG9jLnhtbK1TzY7TMBC+I/EOlu80TdVuIWq6h64WDgtU2l3uruMkFo7HGrtN&#10;e+OGeAZuHHkHeJuV4C127GYLCzdEDiPPz/fNbxbn+86wnUKvwZY8H405U1ZCpW1T8tuby2fPOfNB&#10;2EoYsKrkB+X5+fLpk0XvCjWBFkylkBGJ9UXvSt6G4Ios87JVnfAjcMqSswbsRCAVm6xC0RN7Z7LJ&#10;eHyW9YCVQ5DKe7JeHJ18mfjrWsnwtq69CsyUnGoLSWKSmyiz5UIUDQrXajmUIf6hik5oS0lPVBci&#10;CLZF/RdVpyWChzqMJHQZ1LWWKvVA3eTjP7q5boVTqRcajnenMfn/Ryvf7NbIdEW7m59xZkVHS/rx&#10;8evPD5/uPn+/+/aF5dNJnFLvfEHBK7vG2Kfc22t3BfK9ZxZWrbCNStXeHBwRBNyqCMoeoaLiHaXb&#10;9K+hojCxDZCmtq+xY7XR7tWATcq7QYn5aFJsn9Z2OK1N7QOTZMxn+XQ6n3EmyTeZzXN6x+SiiLwR&#10;7dCHlwo6Fh8l9wGFbtqwAmvpQgDzVIXYXflwBD4AItjCpTaG7KIwlvUlfzGbzBLAg9FVdEafx2az&#10;Msh2Ip5a+oYqHoUhbG11TGJsxKl0pUPmhxEd572B6rDGGBztdAGpqeFa44n9rqeoX//U8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WrsFh2AAAAAcBAAAPAAAAAAAAAAEAIAAAADgAAABkcnMvZG93&#10;bnJldi54bWxQSwECFAAUAAAACACHTuJAByEgseoBAACbAwAADgAAAAAAAAABACAAAAA9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70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7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43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70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70</w:t>
            </w:r>
            <w:r>
              <w:rPr>
                <w:rFonts w:hint="eastAsia" w:ascii="仿宋" w:hAnsi="仿宋" w:eastAsia="仿宋"/>
                <w:color w:val="000000"/>
                <w:kern w:val="0"/>
                <w:sz w:val="21"/>
                <w:szCs w:val="21"/>
                <w:u w:color="000000"/>
              </w:rPr>
              <w:t>0)米</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700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0)米</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90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11</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110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130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418"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7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418"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430"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70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79"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70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7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418"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430"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88"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41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7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418"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430"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bookmarkEnd w:id="72"/>
    </w:tbl>
    <w:p>
      <w:pPr>
        <w:tabs>
          <w:tab w:val="left" w:pos="705"/>
        </w:tabs>
        <w:ind w:firstLine="0" w:firstLineChars="0"/>
        <w:jc w:val="center"/>
        <w:rPr>
          <w:rFonts w:ascii="仿宋" w:hAnsi="仿宋" w:eastAsia="仿宋" w:cs="仿宋"/>
          <w:szCs w:val="28"/>
          <w:u w:color="000000"/>
        </w:rPr>
      </w:pPr>
      <w:r>
        <w:rPr>
          <w:rFonts w:ascii="仿宋" w:hAnsi="仿宋" w:eastAsia="仿宋"/>
          <w:sz w:val="24"/>
          <w:szCs w:val="24"/>
          <w:u w:color="000000"/>
        </w:rPr>
        <mc:AlternateContent>
          <mc:Choice Requires="wps">
            <w:drawing>
              <wp:anchor distT="0" distB="0" distL="114300" distR="114300" simplePos="0" relativeHeight="251819008" behindDoc="0" locked="0" layoutInCell="1" allowOverlap="1">
                <wp:simplePos x="0" y="0"/>
                <wp:positionH relativeFrom="column">
                  <wp:posOffset>947420</wp:posOffset>
                </wp:positionH>
                <wp:positionV relativeFrom="paragraph">
                  <wp:posOffset>300990</wp:posOffset>
                </wp:positionV>
                <wp:extent cx="1076325" cy="581025"/>
                <wp:effectExtent l="0" t="0" r="28575" b="28575"/>
                <wp:wrapNone/>
                <wp:docPr id="65" name="自选图形 143"/>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76325" cy="581025"/>
                        </a:xfrm>
                        <a:prstGeom prst="straightConnector1">
                          <a:avLst/>
                        </a:prstGeom>
                        <a:noFill/>
                        <a:ln w="9525">
                          <a:solidFill>
                            <a:srgbClr val="000000"/>
                          </a:solidFill>
                          <a:round/>
                        </a:ln>
                        <a:effectLst/>
                      </wps:spPr>
                      <wps:bodyPr/>
                    </wps:wsp>
                  </a:graphicData>
                </a:graphic>
              </wp:anchor>
            </w:drawing>
          </mc:Choice>
          <mc:Fallback>
            <w:pict>
              <v:shape id="自选图形 143" o:spid="_x0000_s1026" o:spt="32" type="#_x0000_t32" style="position:absolute;left:0pt;flip:x y;margin-left:74.6pt;margin-top:23.7pt;height:45.75pt;width:84.75pt;z-index:251819008;mso-width-relative:page;mso-height-relative:page;" filled="f" stroked="t" coordsize="21600,21600" o:gfxdata="UEsFBgAAAAAAAAAAAAAAAAAAAAAAAFBLAwQKAAAAAACHTuJAAAAAAAAAAAAAAAAABAAAAGRycy9Q&#10;SwMEFAAAAAgAh07iQLrwZjjaAAAACgEAAA8AAABkcnMvZG93bnJldi54bWxNj0FLw0AQhe+C/2EZ&#10;wYvYTdrQpDGbHgSLxUOxlZ432WkSzM6G7Lap/nrHkx4f7/HNN8X6antxwdF3jhTEswgEUu1MR42C&#10;j8PLYwbCB01G945QwRd6WJe3N4XOjZvoHS/70AiGkM+1gjaEIZfS1y1a7WduQOLu5EarA8exkWbU&#10;E8NtL+dRtJRWd8QXWj3gc4v15/5sFSTLQ7WZatymcvc9mbfX42b7YJW6v4ujJxABr+FvDL/6rA4l&#10;O1XuTMaLnnOymvOUYWkCggeLOEtBVNwsshXIspD/Xyh/AFBLAwQUAAAACACHTuJAAcDF8eoBAACa&#10;AwAADgAAAGRycy9lMm9Eb2MueG1srVPNjtMwEL4j8Q6W7zRJly5L1HQPXS0cFqi0C3fXcRILx2ON&#10;3aa9cUM8A7c98g7wNivBWzB2s4WFGyIHy9/MfN/8eDI/3/WGbRV6DbbixSTnTFkJtbZtxd/eXD45&#10;48wHYWthwKqK75Xn54vHj+aDK9UUOjC1QkYi1peDq3gXgiuzzMtO9cJPwClLzgawF4EgtlmNYiD1&#10;3mTTPD/NBsDaIUjlPVkvDk6+SPpNo2R40zReBWYqTrWFdGI61/HMFnNRtihcp+VYhviHKnqhLSU9&#10;Sl2IINgG9V9SvZYIHpowkdBn0DRaqtQDdVPkf3Rz3QmnUi80HO+OY/L/T1a+3q6Q6bripzPOrOjp&#10;jb5//PLjw6e7z9/uvt6y4ulJHNLgfEmxS7vC2Kbc2Wt3BfK9ZxaWnbCtSsXe7B0JBNyoSMoesCLw&#10;jrKth1dQU5jYBEhD2zXYs8Zo93LkJvBuBDEfDYrt0qvtj6+mdoFJMhb5s9OTKVUvyTc7K3K6x+Si&#10;jLqR7dCHFwp6Fi8V9wGFbruwBGtpQQCLVIXYXvlwIN4TItnCpTaG7KI0lg0Vfz6jBBF6MLqOzgSw&#10;XS8Nsq2Im5a+sYoHYQgbWx+SGBt5Ki3pmPl+RId5r6HerzAGRzstQGpqXNa4Yb/jFPXrl1r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rwZjjaAAAACgEAAA8AAAAAAAAAAQAgAAAAOAAAAGRycy9k&#10;b3ducmV2LnhtbFBLAQIUABQAAAAIAIdO4kABwMXx6gEAAJoDAAAOAAAAAAAAAAEAIAAAAD8BAABk&#10;cnMvZTJvRG9jLnhtbFBLBQYAAAAABgAGAFkBAACb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4-9    </w:t>
      </w:r>
      <w:r>
        <w:rPr>
          <w:rFonts w:hint="eastAsia" w:ascii="仿宋" w:hAnsi="仿宋" w:eastAsia="仿宋" w:cs="仿宋"/>
          <w:b/>
          <w:bCs/>
          <w:sz w:val="24"/>
          <w:szCs w:val="24"/>
          <w:u w:color="000000"/>
        </w:rPr>
        <w:t>头道桥镇一级公共服务项目用地基准地价修正系数表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1305"/>
        <w:gridCol w:w="1701"/>
        <w:gridCol w:w="103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bookmarkStart w:id="73" w:name="_Hlk99023341"/>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23104" behindDoc="0" locked="0" layoutInCell="1" allowOverlap="1">
                      <wp:simplePos x="0" y="0"/>
                      <wp:positionH relativeFrom="column">
                        <wp:posOffset>-36830</wp:posOffset>
                      </wp:positionH>
                      <wp:positionV relativeFrom="paragraph">
                        <wp:posOffset>48260</wp:posOffset>
                      </wp:positionV>
                      <wp:extent cx="2085975" cy="342900"/>
                      <wp:effectExtent l="0" t="0" r="28575" b="19050"/>
                      <wp:wrapNone/>
                      <wp:docPr id="184" name="自选图形 145"/>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2085975" cy="342900"/>
                              </a:xfrm>
                              <a:prstGeom prst="straightConnector1">
                                <a:avLst/>
                              </a:prstGeom>
                              <a:noFill/>
                              <a:ln w="9525">
                                <a:solidFill>
                                  <a:srgbClr val="000000"/>
                                </a:solidFill>
                                <a:round/>
                              </a:ln>
                              <a:effectLst/>
                            </wps:spPr>
                            <wps:bodyPr/>
                          </wps:wsp>
                        </a:graphicData>
                      </a:graphic>
                    </wp:anchor>
                  </w:drawing>
                </mc:Choice>
                <mc:Fallback>
                  <w:pict>
                    <v:shape id="自选图形 145" o:spid="_x0000_s1026" o:spt="32" type="#_x0000_t32" style="position:absolute;left:0pt;flip:x y;margin-left:-2.9pt;margin-top:3.8pt;height:27pt;width:164.25pt;z-index:251823104;mso-width-relative:page;mso-height-relative:page;" filled="f" stroked="t" coordsize="21600,21600" o:gfxdata="UEsFBgAAAAAAAAAAAAAAAAAAAAAAAFBLAwQKAAAAAACHTuJAAAAAAAAAAAAAAAAABAAAAGRycy9Q&#10;SwMEFAAAAAgAh07iQBX6wuTYAAAABwEAAA8AAABkcnMvZG93bnJldi54bWxNzjFPwzAQBeAdif9g&#10;HRILap0EcFDIpQMSFRUDoq06O/GRRMTnKHabwq/HTDCe3um9r1yd7SBONPneMUK6TEAQN8703CLs&#10;d8+LBxA+aDZ6cEwIX+RhVV1elLowbuZ3Om1DK2IJ+0IjdCGMhZS+6chqv3Qjccw+3GR1iOfUSjPp&#10;OZbbQWZJoqTVPceFTo/01FHzuT1ahDu1q9dzQ5tcvn3P5vXlsN7cWMTrqzR5BBHoHP6e4Zcf6VBF&#10;U+2ObLwYEBb3UR4QcgUixrdZloOoEVSqQFal/O+vfgBQSwMEFAAAAAgAh07iQFaAtSDtAQAAmwMA&#10;AA4AAABkcnMvZTJvRG9jLnhtbK1TwY7TMBC9I/EPlu80aWmhjZruoauFwwKVdpe76ziJheOxxm7T&#10;3rghvoEbR/4B/mYl+Isdu93uAjdEDlbGM+/NzJvx/GzXGbZV6DXYkg8HOWfKSqi0bUp+c33xbMqZ&#10;D8JWwoBVJd8rz88WT5/Me1eoEbRgKoWMSKwvelfyNgRXZJmXreqEH4BTlpw1YCcCmdhkFYqe2DuT&#10;jfL8RdYDVg5BKu/p9vzg5IvEX9dKhnd17VVgpuRUW0gnpnMdz2wxF0WDwrVaHssQ/1BFJ7SlpCeq&#10;cxEE26D+i6rTEsFDHQYSugzqWkuVeqBuhvkf3Vy1wqnUC4nj3Ukm//9o5dvtCpmuaHbTMWdWdDSk&#10;n5++/fr4+fbLj9vvX9lwPIkq9c4XFLy0K4x9yp29cpcgP3hmYdkK26hU7fXeEUHAjYqg7DdUNLyj&#10;dOv+DVQUJjYBkmq7GjtWG+1eH7HJeH80Yj5Siu3S2PansaldYJIuR/l0Mns54UyS7/l4NMvTXDNR&#10;RN6IdujDKwUdiz8l9wGFbtqwBGtpQwCHqQqxvfQhVv0AiGALF9qYtCjGsr7ks8lokgAejK6iM4Z5&#10;bNZLg2wr4qqlL0lAnsdhCBtbHZIYG3Eqbekx871EB73XUO1XeK8jbUCq7bitccUe20nthze1u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V+sLk2AAAAAcBAAAPAAAAAAAAAAEAIAAAADgAAABkcnMv&#10;ZG93bnJldi54bWxQSwECFAAUAAAACACHTuJAVoC1IO0BAACbAwAADgAAAAAAAAABACAAAAA9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w:t>
            </w:r>
          </w:p>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便捷度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0.0424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0.0212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305"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305"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0.0259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-0.0094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1696"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96"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701"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03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0.0165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bookmarkEnd w:id="73"/>
    </w:tbl>
    <w:p>
      <w:pPr>
        <w:tabs>
          <w:tab w:val="left" w:pos="705"/>
        </w:tabs>
        <w:ind w:firstLine="0" w:firstLineChars="0"/>
        <w:jc w:val="center"/>
        <w:rPr>
          <w:rFonts w:ascii="仿宋" w:hAnsi="仿宋" w:eastAsia="仿宋" w:cs="仿宋"/>
          <w:szCs w:val="28"/>
          <w:u w:color="000000"/>
        </w:rPr>
      </w:pP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4-10    </w:t>
      </w:r>
      <w:r>
        <w:rPr>
          <w:rFonts w:hint="eastAsia" w:ascii="仿宋" w:hAnsi="仿宋" w:eastAsia="仿宋" w:cs="仿宋"/>
          <w:b/>
          <w:bCs/>
          <w:sz w:val="24"/>
          <w:szCs w:val="24"/>
          <w:u w:color="000000"/>
        </w:rPr>
        <w:t>头道桥镇二级公共服务项目用地影响因素指标说明表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1"/>
        <w:gridCol w:w="894"/>
        <w:gridCol w:w="1519"/>
        <w:gridCol w:w="1285"/>
        <w:gridCol w:w="1285"/>
        <w:gridCol w:w="1287"/>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804" w:type="dxa"/>
            <w:gridSpan w:val="3"/>
            <w:vAlign w:val="center"/>
          </w:tcPr>
          <w:p>
            <w:pPr>
              <w:spacing w:line="280" w:lineRule="exact"/>
              <w:ind w:firstLine="1785" w:firstLineChars="850"/>
              <w:jc w:val="right"/>
              <w:rPr>
                <w:rFonts w:ascii="仿宋" w:hAnsi="仿宋" w:eastAsia="仿宋"/>
                <w:color w:val="000000"/>
                <w:kern w:val="0"/>
                <w:sz w:val="21"/>
                <w:szCs w:val="21"/>
                <w:u w:color="000000"/>
              </w:rPr>
            </w:pPr>
            <w:bookmarkStart w:id="74" w:name="_Hlk99023355"/>
            <w:r>
              <w:rPr>
                <w:rFonts w:ascii="仿宋" w:hAnsi="仿宋" w:eastAsia="仿宋"/>
                <w:color w:val="000000"/>
                <w:kern w:val="0"/>
                <w:sz w:val="21"/>
                <w:szCs w:val="21"/>
                <w:u w:color="000000"/>
              </w:rPr>
              <mc:AlternateContent>
                <mc:Choice Requires="wps">
                  <w:drawing>
                    <wp:anchor distT="0" distB="0" distL="114300" distR="114300" simplePos="0" relativeHeight="251824128" behindDoc="0" locked="0" layoutInCell="1" allowOverlap="1">
                      <wp:simplePos x="0" y="0"/>
                      <wp:positionH relativeFrom="column">
                        <wp:posOffset>680720</wp:posOffset>
                      </wp:positionH>
                      <wp:positionV relativeFrom="paragraph">
                        <wp:posOffset>-10160</wp:posOffset>
                      </wp:positionV>
                      <wp:extent cx="1012190" cy="504825"/>
                      <wp:effectExtent l="0" t="0" r="16510" b="28575"/>
                      <wp:wrapNone/>
                      <wp:docPr id="187" name="自选图形 146"/>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012190" cy="504825"/>
                              </a:xfrm>
                              <a:prstGeom prst="straightConnector1">
                                <a:avLst/>
                              </a:prstGeom>
                              <a:noFill/>
                              <a:ln w="9525">
                                <a:solidFill>
                                  <a:srgbClr val="000000"/>
                                </a:solidFill>
                                <a:round/>
                              </a:ln>
                              <a:effectLst/>
                            </wps:spPr>
                            <wps:bodyPr/>
                          </wps:wsp>
                        </a:graphicData>
                      </a:graphic>
                    </wp:anchor>
                  </w:drawing>
                </mc:Choice>
                <mc:Fallback>
                  <w:pict>
                    <v:shape id="自选图形 146" o:spid="_x0000_s1026" o:spt="32" type="#_x0000_t32" style="position:absolute;left:0pt;flip:x y;margin-left:53.6pt;margin-top:-0.8pt;height:39.75pt;width:79.7pt;z-index:251824128;mso-width-relative:page;mso-height-relative:page;" filled="f" stroked="t" coordsize="21600,21600" o:gfxdata="UEsFBgAAAAAAAAAAAAAAAAAAAAAAAFBLAwQKAAAAAACHTuJAAAAAAAAAAAAAAAAABAAAAGRycy9Q&#10;SwMEFAAAAAgAh07iQD8LAeTZAAAACQEAAA8AAABkcnMvZG93bnJldi54bWxNj8FOwzAMhu9IvENk&#10;JC5oS1qhlnVNd0BiYuKA2BDntDFtReNUTbYOnh5zYjf/8qffn8vN2Q3ihFPoPWlIlgoEUuNtT62G&#10;98PT4gFEiIasGTyhhm8MsKmur0pTWD/TG572sRVcQqEwGroYx0LK0HToTFj6EYl3n35yJnKcWmkn&#10;M3O5G2SqVCad6YkvdGbExw6br/3RabjPDvV2bnCXy9ef2b48f2x3d07r25tErUFEPMd/GP70WR0q&#10;dqr9kWwQA2eVp4xqWCQZCAbSLOOh1pDnK5BVKS8/qH4BUEsDBBQAAAAIAIdO4kDfDrUa6gEAAJsD&#10;AAAOAAAAZHJzL2Uyb0RvYy54bWytU8GO0zAQvSPxD5bvNEm1XbpR0z10tXBYYKVduLuOk1g4Hmvs&#10;Nu2NG+IbuHHkH+BvVoK/YOxmuyzcEDlYmYznvTdvJovzXW/YVqHXYCteTHLOlJVQa9tW/O3t5bM5&#10;Zz4IWwsDVlV8rzw/Xz59shhcqabQgakVMgKxvhxcxbsQXJllXnaqF34CTllKNoC9CBRim9UoBkLv&#10;TTbN89NsAKwdglTe09eLQ5IvE37TKBneNI1XgZmKk7aQTkznOp7ZciHKFoXrtBxliH9Q0QttifQI&#10;dSGCYBvUf0H1WiJ4aMJEQp9B02ipUg/UTZH/0c1NJ5xKvZA53h1t8v8PVr7eXiPTNc1u/pwzK3oa&#10;0o+PX39++HT3+fvdty+sODmNLg3Ol3R5Za8x9il39sZdgXzvmYVVJ2yrktrbvSOAgBsVi7JHVTHw&#10;jujWwyuo6ZrYBEiu7RrsWWO0eznWpuDdGEQ+cort0tj2x7GpXWCSPhZ5MS3OaLqScrP8ZD6dJXJR&#10;RtxY7dCHFwp6Fl8q7gMK3XZhBdbShgAWSYXYXvkQVT8UxGILl9qYtCjGsqHiZzMiiBkPRtcxmQJs&#10;1yuDbCviqqVnVPHoGsLG1gcSY2OdSls6Mt9bdPB7DfX+Gu99pA1I2sZtjSv2e5zcfvin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PwsB5NkAAAAJAQAADwAAAAAAAAABACAAAAA4AAAAZHJzL2Rv&#10;d25yZXYueG1sUEsBAhQAFAAAAAgAh07iQN8OtRrqAQAAmwMAAA4AAAAAAAAAAQAgAAAAPgEAAGRy&#10;cy9lMm9Eb2MueG1sUEsFBgAAAAAGAAYAWQEAAJoFA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标准</w:t>
            </w:r>
          </w:p>
          <w:p>
            <w:pPr>
              <w:spacing w:line="280" w:lineRule="exact"/>
              <w:ind w:firstLine="840" w:firstLineChars="4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25152" behindDoc="0" locked="0" layoutInCell="1" allowOverlap="1">
                      <wp:simplePos x="0" y="0"/>
                      <wp:positionH relativeFrom="column">
                        <wp:posOffset>-62230</wp:posOffset>
                      </wp:positionH>
                      <wp:positionV relativeFrom="paragraph">
                        <wp:posOffset>78740</wp:posOffset>
                      </wp:positionV>
                      <wp:extent cx="1764665" cy="266700"/>
                      <wp:effectExtent l="0" t="0" r="26035" b="19050"/>
                      <wp:wrapNone/>
                      <wp:docPr id="188" name="自选图形 147"/>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764665" cy="266700"/>
                              </a:xfrm>
                              <a:prstGeom prst="straightConnector1">
                                <a:avLst/>
                              </a:prstGeom>
                              <a:noFill/>
                              <a:ln w="9525">
                                <a:solidFill>
                                  <a:srgbClr val="000000"/>
                                </a:solidFill>
                                <a:round/>
                              </a:ln>
                              <a:effectLst/>
                            </wps:spPr>
                            <wps:bodyPr/>
                          </wps:wsp>
                        </a:graphicData>
                      </a:graphic>
                    </wp:anchor>
                  </w:drawing>
                </mc:Choice>
                <mc:Fallback>
                  <w:pict>
                    <v:shape id="自选图形 147" o:spid="_x0000_s1026" o:spt="32" type="#_x0000_t32" style="position:absolute;left:0pt;flip:x y;margin-left:-4.9pt;margin-top:6.2pt;height:21pt;width:138.95pt;z-index:251825152;mso-width-relative:page;mso-height-relative:page;" filled="f" stroked="t" coordsize="21600,21600" o:gfxdata="UEsFBgAAAAAAAAAAAAAAAAAAAAAAAFBLAwQKAAAAAACHTuJAAAAAAAAAAAAAAAAABAAAAGRycy9Q&#10;SwMEFAAAAAgAh07iQAE5KfbZAAAACAEAAA8AAABkcnMvZG93bnJldi54bWxNj8FOwzAQRO9I/Qdr&#10;kbig1kkUQglxeqhERcWhaos4O/GSRMTrKHabwteznOhxZ0Yzb4vVxfbijKPvHCmIFxEIpNqZjhoF&#10;78eX+RKED5qM7h2hgm/0sCpnN4XOjZtoj+dDaASXkM+1gjaEIZfS1y1a7RduQGLv041WBz7HRppR&#10;T1xue5lEUSat7ogXWj3gusX663CyCtLsWG2mGrePcvczmbfXj8323ip1dxtHzyACXsJ/GP7wGR1K&#10;ZqrciYwXvYL5E5MH1pMUBPtJtoxBVAoe0hRkWcjrB8pfUEsDBBQAAAAIAIdO4kBzflbT7AEAAJsD&#10;AAAOAAAAZHJzL2Uyb0RvYy54bWytU8GO0zAQvSPxD5bvNGm1TZeo6R66WjgsUGkX7q7jJBaOxxq7&#10;TXvjhvgGbhz5B/ibleAvGLvd7gI3RA5WxjPvzcyb8fxi1xu2Veg12IqPRzlnykqotW0r/vb26tk5&#10;Zz4IWwsDVlV8rzy/WDx9Mh9cqSbQgakVMiKxvhxcxbsQXJllXnaqF34ETllyNoC9CGRim9UoBmLv&#10;TTbJ8yIbAGuHIJX3dHt5cPJF4m8aJcObpvEqMFNxqi2kE9O5jme2mIuyReE6LY9liH+oohfaUtIT&#10;1aUIgm1Q/0XVa4ngoQkjCX0GTaOlSj1QN+P8j25uOuFU6oXE8e4kk/9/tPL1doVM1zS7cxqVFT0N&#10;6cfHrz8/fLr7/P3u2xc2PptFlQbnSwpe2hXGPuXO3rhrkO89s7DshG1VqvZ274gg4EZFUPYbKhre&#10;Ubr18ApqChObAEm1XYM9a4x2L4/YZLw7GjEfKcV2aWz709jULjBJl+NZcVYUU84k+SZFMcvTXDNR&#10;Rt6IdujDCwU9iz8V9wGFbruwBGtpQwDHqQqxvfYhVv0AiGALV9qYtCjGsqHiz6eTaQJ4MLqOzhjm&#10;sV0vDbKtiKuWviQBeR6HIWxsfUhibMSptKXHzPcSHfReQ71f4b2OtAGptuO2xhV7bCe1H97U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BOSn22QAAAAgBAAAPAAAAAAAAAAEAIAAAADgAAABkcnMv&#10;ZG93bnJldi54bWxQSwECFAAUAAAACACHTuJAc35W0+wBAACbAwAADgAAAAAAAAABACAAAAA+AQAA&#10;ZHJzL2Uyb0RvYy54bWxQSwUGAAAAAAYABgBZAQAAnA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restart"/>
            <w:vAlign w:val="center"/>
          </w:tcPr>
          <w:p>
            <w:pPr>
              <w:spacing w:line="280" w:lineRule="exact"/>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邻近交通型主干道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邻近混合型主干道</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邻近生活型主干道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邻近次干道</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邻近支路及规划道路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80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800</w:t>
            </w: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0)米</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100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120</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14</w:t>
            </w:r>
            <w:r>
              <w:rPr>
                <w:rFonts w:hint="eastAsia" w:ascii="仿宋" w:hAnsi="仿宋" w:eastAsia="仿宋"/>
                <w:color w:val="000000"/>
                <w:kern w:val="0"/>
                <w:sz w:val="21"/>
                <w:szCs w:val="21"/>
                <w:u w:color="000000"/>
              </w:rPr>
              <w:t>0</w:t>
            </w:r>
            <w:r>
              <w:rPr>
                <w:rFonts w:ascii="仿宋" w:hAnsi="仿宋" w:eastAsia="仿宋"/>
                <w:color w:val="000000"/>
                <w:kern w:val="0"/>
                <w:sz w:val="21"/>
                <w:szCs w:val="21"/>
                <w:u w:color="000000"/>
              </w:rPr>
              <w:t>0</w:t>
            </w:r>
            <w:r>
              <w:rPr>
                <w:rFonts w:hint="eastAsia" w:ascii="仿宋" w:hAnsi="仿宋" w:eastAsia="仿宋"/>
                <w:color w:val="000000"/>
                <w:kern w:val="0"/>
                <w:sz w:val="21"/>
                <w:szCs w:val="21"/>
                <w:u w:color="000000"/>
              </w:rPr>
              <w:t>)米</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w:t>
            </w:r>
            <w:r>
              <w:rPr>
                <w:rFonts w:ascii="仿宋" w:hAnsi="仿宋" w:eastAsia="仿宋"/>
                <w:color w:val="000000"/>
                <w:kern w:val="0"/>
                <w:sz w:val="21"/>
                <w:szCs w:val="21"/>
                <w:u w:color="000000"/>
              </w:rPr>
              <w:t>140</w:t>
            </w:r>
            <w:r>
              <w:rPr>
                <w:rFonts w:hint="eastAsia" w:ascii="仿宋" w:hAnsi="仿宋" w:eastAsia="仿宋"/>
                <w:color w:val="000000"/>
                <w:kern w:val="0"/>
                <w:sz w:val="21"/>
                <w:szCs w:val="21"/>
                <w:u w:color="000000"/>
              </w:rPr>
              <w:t>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供水管道密集，保证率9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%以上</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供水管道较密集，保证率9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8</w:t>
            </w:r>
            <w:r>
              <w:rPr>
                <w:rFonts w:hint="eastAsia" w:ascii="仿宋" w:hAnsi="仿宋" w:eastAsia="仿宋" w:cs="仿宋"/>
                <w:color w:val="000000"/>
                <w:kern w:val="28"/>
                <w:sz w:val="21"/>
                <w:szCs w:val="21"/>
                <w:u w:color="000000"/>
              </w:rPr>
              <w:t>%</w:t>
            </w:r>
          </w:p>
        </w:tc>
        <w:tc>
          <w:tcPr>
            <w:tcW w:w="1287"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供水管道均匀，保证率9</w:t>
            </w:r>
            <w:r>
              <w:rPr>
                <w:rFonts w:ascii="仿宋" w:hAnsi="仿宋" w:eastAsia="仿宋" w:cs="仿宋"/>
                <w:color w:val="000000"/>
                <w:kern w:val="28"/>
                <w:sz w:val="21"/>
                <w:szCs w:val="21"/>
                <w:u w:color="000000"/>
              </w:rPr>
              <w:t>0</w:t>
            </w:r>
            <w:r>
              <w:rPr>
                <w:rFonts w:hint="eastAsia" w:ascii="仿宋" w:hAnsi="仿宋" w:eastAsia="仿宋" w:cs="仿宋"/>
                <w:color w:val="000000"/>
                <w:kern w:val="28"/>
                <w:sz w:val="21"/>
                <w:szCs w:val="21"/>
                <w:u w:color="000000"/>
              </w:rPr>
              <w:t>%-9</w:t>
            </w:r>
            <w:r>
              <w:rPr>
                <w:rFonts w:ascii="仿宋" w:hAnsi="仿宋" w:eastAsia="仿宋" w:cs="仿宋"/>
                <w:color w:val="000000"/>
                <w:kern w:val="28"/>
                <w:sz w:val="21"/>
                <w:szCs w:val="21"/>
                <w:u w:color="000000"/>
              </w:rPr>
              <w:t>5</w:t>
            </w:r>
            <w:r>
              <w:rPr>
                <w:rFonts w:hint="eastAsia" w:ascii="仿宋" w:hAnsi="仿宋" w:eastAsia="仿宋" w:cs="仿宋"/>
                <w:color w:val="000000"/>
                <w:kern w:val="28"/>
                <w:sz w:val="21"/>
                <w:szCs w:val="21"/>
                <w:u w:color="000000"/>
              </w:rPr>
              <w:t>%</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供水管道稀疏，保证率</w:t>
            </w:r>
            <w:r>
              <w:rPr>
                <w:rFonts w:ascii="仿宋" w:hAnsi="仿宋" w:eastAsia="仿宋" w:cs="仿宋"/>
                <w:color w:val="000000"/>
                <w:kern w:val="28"/>
                <w:sz w:val="21"/>
                <w:szCs w:val="21"/>
                <w:u w:color="000000"/>
              </w:rPr>
              <w:t>90</w:t>
            </w:r>
            <w:r>
              <w:rPr>
                <w:rFonts w:hint="eastAsia" w:ascii="仿宋" w:hAnsi="仿宋" w:eastAsia="仿宋" w:cs="仿宋"/>
                <w:color w:val="000000"/>
                <w:kern w:val="28"/>
                <w:sz w:val="21"/>
                <w:szCs w:val="21"/>
                <w:u w:color="000000"/>
              </w:rPr>
              <w:t>%以下</w:t>
            </w:r>
          </w:p>
        </w:tc>
        <w:tc>
          <w:tcPr>
            <w:tcW w:w="1285" w:type="dxa"/>
            <w:vAlign w:val="center"/>
          </w:tcPr>
          <w:p>
            <w:pPr>
              <w:spacing w:line="240" w:lineRule="auto"/>
              <w:ind w:firstLine="0" w:firstLineChars="0"/>
              <w:jc w:val="center"/>
              <w:rPr>
                <w:rFonts w:ascii="仿宋" w:hAnsi="仿宋" w:eastAsia="仿宋" w:cs="仿宋"/>
                <w:color w:val="000000"/>
                <w:kern w:val="28"/>
                <w:sz w:val="21"/>
                <w:szCs w:val="21"/>
                <w:u w:color="000000"/>
              </w:rPr>
            </w:pPr>
            <w:r>
              <w:rPr>
                <w:rFonts w:hint="eastAsia" w:ascii="仿宋" w:hAnsi="仿宋" w:eastAsia="仿宋" w:cs="仿宋"/>
                <w:color w:val="000000"/>
                <w:kern w:val="28"/>
                <w:sz w:val="21"/>
                <w:szCs w:val="21"/>
                <w:u w:color="000000"/>
              </w:rPr>
              <w:t>无集中供水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894"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雨排及污排设施齐全且通畅</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雨排及污排设施较齐全基本通畅</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只有污排设施</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只有雨排</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无排水设施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地势平坦</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有较小起伏</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有一定起伏，对利用无影响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有较大起伏，对利用有一定影响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起伏过大，严重影响土地利用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91" w:type="dxa"/>
            <w:vMerge w:val="continue"/>
            <w:vAlign w:val="center"/>
          </w:tcPr>
          <w:p>
            <w:pPr>
              <w:spacing w:line="280" w:lineRule="exact"/>
              <w:ind w:firstLine="0" w:firstLineChars="0"/>
              <w:jc w:val="center"/>
              <w:rPr>
                <w:rFonts w:ascii="仿宋" w:hAnsi="仿宋" w:eastAsia="仿宋"/>
                <w:color w:val="000000"/>
                <w:kern w:val="0"/>
                <w:sz w:val="21"/>
                <w:szCs w:val="21"/>
                <w:u w:color="000000"/>
              </w:rPr>
            </w:pPr>
          </w:p>
        </w:tc>
        <w:tc>
          <w:tcPr>
            <w:tcW w:w="894"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周边有工业聚集，且有产业联系</w:t>
            </w:r>
          </w:p>
        </w:tc>
        <w:tc>
          <w:tcPr>
            <w:tcW w:w="1287"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周边有工业聚集，相关产业联系不紧密</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周边有少量工业企业</w:t>
            </w:r>
          </w:p>
        </w:tc>
        <w:tc>
          <w:tcPr>
            <w:tcW w:w="1285" w:type="dxa"/>
            <w:vAlign w:val="center"/>
          </w:tcPr>
          <w:p>
            <w:pPr>
              <w:spacing w:line="240" w:lineRule="auto"/>
              <w:ind w:firstLine="0" w:firstLineChars="0"/>
              <w:jc w:val="center"/>
              <w:rPr>
                <w:rFonts w:ascii="仿宋" w:hAnsi="仿宋" w:eastAsia="仿宋" w:cs="仿宋"/>
                <w:color w:val="000000"/>
                <w:kern w:val="0"/>
                <w:sz w:val="21"/>
                <w:szCs w:val="21"/>
                <w:u w:color="000000"/>
              </w:rPr>
            </w:pPr>
            <w:r>
              <w:rPr>
                <w:rFonts w:hint="eastAsia" w:ascii="仿宋" w:hAnsi="仿宋" w:eastAsia="仿宋" w:cs="仿宋"/>
                <w:color w:val="000000"/>
                <w:kern w:val="0"/>
                <w:sz w:val="21"/>
                <w:szCs w:val="21"/>
                <w:u w:color="000000"/>
              </w:rPr>
              <w:t>独立工矿点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restart"/>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形状规则，且长边临街</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形状规则，短边临街</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形状较规则，对利用无影响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形状不规则，严重影响土地利用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面积正好，利于布局</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面积适中，较利于布局</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面积大小对利用无影响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偏大（小），对利用有一定影响</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偏大（小），严重影响土地利用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285" w:type="dxa"/>
            <w:gridSpan w:val="2"/>
            <w:vMerge w:val="continue"/>
            <w:vAlign w:val="center"/>
          </w:tcPr>
          <w:p>
            <w:pPr>
              <w:spacing w:line="280" w:lineRule="exact"/>
              <w:ind w:firstLine="0" w:firstLineChars="0"/>
              <w:jc w:val="both"/>
              <w:rPr>
                <w:rFonts w:ascii="仿宋" w:hAnsi="仿宋" w:eastAsia="仿宋"/>
                <w:color w:val="000000"/>
                <w:kern w:val="0"/>
                <w:sz w:val="21"/>
                <w:szCs w:val="21"/>
                <w:u w:color="000000"/>
              </w:rPr>
            </w:pPr>
          </w:p>
        </w:tc>
        <w:tc>
          <w:tcPr>
            <w:tcW w:w="1519"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地质承载力强，利于建设</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地质承载力较强，利于建设</w:t>
            </w:r>
          </w:p>
        </w:tc>
        <w:tc>
          <w:tcPr>
            <w:tcW w:w="1287"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无不良地质现象</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有不良地质状况，但无需特殊处理</w:t>
            </w:r>
          </w:p>
        </w:tc>
        <w:tc>
          <w:tcPr>
            <w:tcW w:w="1285" w:type="dxa"/>
            <w:vAlign w:val="center"/>
          </w:tcPr>
          <w:p>
            <w:pPr>
              <w:spacing w:line="280" w:lineRule="exact"/>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有不良地质状况,并需特殊处理</w:t>
            </w:r>
          </w:p>
        </w:tc>
      </w:tr>
      <w:bookmarkEnd w:id="74"/>
    </w:tbl>
    <w:p>
      <w:pPr>
        <w:tabs>
          <w:tab w:val="left" w:pos="705"/>
        </w:tabs>
        <w:ind w:firstLine="0" w:firstLineChars="0"/>
        <w:jc w:val="center"/>
        <w:rPr>
          <w:rFonts w:ascii="仿宋" w:hAnsi="仿宋" w:eastAsia="仿宋" w:cs="仿宋"/>
          <w:szCs w:val="28"/>
          <w:u w:color="000000"/>
        </w:rPr>
      </w:pPr>
      <w:r>
        <w:rPr>
          <w:rFonts w:hint="eastAsia" w:ascii="仿宋" w:hAnsi="仿宋" w:eastAsia="仿宋"/>
          <w:sz w:val="24"/>
          <w:szCs w:val="24"/>
          <w:u w:color="000000"/>
        </w:rPr>
        <mc:AlternateContent>
          <mc:Choice Requires="wps">
            <w:drawing>
              <wp:anchor distT="0" distB="0" distL="114300" distR="114300" simplePos="0" relativeHeight="251820032" behindDoc="0" locked="0" layoutInCell="1" allowOverlap="1">
                <wp:simplePos x="0" y="0"/>
                <wp:positionH relativeFrom="column">
                  <wp:posOffset>947420</wp:posOffset>
                </wp:positionH>
                <wp:positionV relativeFrom="paragraph">
                  <wp:posOffset>291465</wp:posOffset>
                </wp:positionV>
                <wp:extent cx="942975" cy="561975"/>
                <wp:effectExtent l="0" t="0" r="28575" b="28575"/>
                <wp:wrapNone/>
                <wp:docPr id="73" name="自选图形 149"/>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942975" cy="561975"/>
                        </a:xfrm>
                        <a:prstGeom prst="straightConnector1">
                          <a:avLst/>
                        </a:prstGeom>
                        <a:noFill/>
                        <a:ln w="9525">
                          <a:solidFill>
                            <a:srgbClr val="000000"/>
                          </a:solidFill>
                          <a:round/>
                        </a:ln>
                        <a:effectLst/>
                      </wps:spPr>
                      <wps:bodyPr/>
                    </wps:wsp>
                  </a:graphicData>
                </a:graphic>
              </wp:anchor>
            </w:drawing>
          </mc:Choice>
          <mc:Fallback>
            <w:pict>
              <v:shape id="自选图形 149" o:spid="_x0000_s1026" o:spt="32" type="#_x0000_t32" style="position:absolute;left:0pt;flip:x y;margin-left:74.6pt;margin-top:22.95pt;height:44.25pt;width:74.25pt;z-index:251820032;mso-width-relative:page;mso-height-relative:page;" filled="f" stroked="t" coordsize="21600,21600" o:gfxdata="UEsFBgAAAAAAAAAAAAAAAAAAAAAAAFBLAwQKAAAAAACHTuJAAAAAAAAAAAAAAAAABAAAAGRycy9Q&#10;SwMEFAAAAAgAh07iQPp2NUTZAAAACgEAAA8AAABkcnMvZG93bnJldi54bWxNj0FPg0AQhe8m/ofN&#10;mHgxdiliEcrSQxMbGw/G1nhe2CmQsrOE3Zbqr3c86fHlvXzzTbG62F6ccfSdIwXzWQQCqXamo0bB&#10;x/75/gmED5qM7h2hgi/0sCqvrwqdGzfRO553oREMIZ9rBW0IQy6lr1u02s/cgMTdwY1WB45jI82o&#10;J4bbXsZRtJBWd8QXWj3gusX6uDtZBcliX22mGrepfPuezOvL52Z7Z5W6vZlHSxABL+FvDL/6rA4l&#10;O1XuRMaLnnOSxTxl2GMGggdxlqYgKm4ekgRkWcj/L5Q/UEsDBBQAAAAIAIdO4kBGT03m6AEAAJkD&#10;AAAOAAAAZHJzL2Uyb0RvYy54bWytU81uEzEQviPxDpbvZLOhackqmx5SFQ4FIrVwd7zeXQuvxxo7&#10;2eTGDfEM3DjyDvA2lehbdOxsA4UbYg8jz8/3ze/Oz3edYVuFXoMteT4ac6ashErbpuTvbi6fveDM&#10;B2ErYcCqku+V5+eLp0/mvSvUBFowlUJGJNYXvSt5G4IrsszLVnXCj8ApS84asBOBVGyyCkVP7J3J&#10;JuPxadYDVg5BKu/JenFw8kXir2slw9u69iowU3KqLSSJSa6jzBZzUTQoXKvlUIb4hyo6oS0lPVJd&#10;iCDYBvVfVJ2WCB7qMJLQZVDXWqrUA3WTj//o5roVTqVeaDjeHcfk/x+tfLNdIdNVyc+ec2ZFRzv6&#10;+enb3cfPt19+3H7/yvKTWRxS73xBsUu7wtim3NlrdwXyg2cWlq2wjUrF3uwdEQTcqAjKHqGi4h1l&#10;W/evoaIwsQmQhrarsWO10e7VgE3K+0GJ+WhQbJe2tj9uTe0Ck2ScnUxmZ1POJLmmp3l8x9yiiLQR&#10;7NCHlwo6Fh8l9wGFbtqwBGvpPgDzVITYXvlwAD4AItjCpTaG7KIwlvWUbjqZJoAHo6vojD6PzXpp&#10;kG1FPLT0DVU8CkPY2OqQxNiIU+lGh8wPEzqMew3VfoUxONpp/6mp4Vbjgf2up6hff9Ti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p2NUTZAAAACgEAAA8AAAAAAAAAAQAgAAAAOAAAAGRycy9kb3du&#10;cmV2LnhtbFBLAQIUABQAAAAIAIdO4kBGT03m6AEAAJkDAAAOAAAAAAAAAAEAIAAAAD4BAABkcnMv&#10;ZTJvRG9jLnhtbFBLBQYAAAAABgAGAFkBAACYBQAAAAA=&#10;">
                <v:fill on="f" focussize="0,0"/>
                <v:stroke color="#000000" joinstyle="round"/>
                <v:imagedata o:title=""/>
                <o:lock v:ext="edit" aspectratio="f"/>
              </v:shape>
            </w:pict>
          </mc:Fallback>
        </mc:AlternateContent>
      </w:r>
      <w:r>
        <w:rPr>
          <w:rFonts w:hint="eastAsia" w:ascii="仿宋" w:hAnsi="仿宋" w:eastAsia="仿宋" w:cs="仿宋"/>
          <w:b/>
          <w:bCs/>
          <w:sz w:val="24"/>
          <w:szCs w:val="24"/>
          <w:u w:color="000000"/>
        </w:rPr>
        <w:t>表</w:t>
      </w:r>
      <w:r>
        <w:rPr>
          <w:rFonts w:ascii="仿宋" w:hAnsi="仿宋" w:eastAsia="仿宋" w:cs="仿宋"/>
          <w:b/>
          <w:bCs/>
          <w:sz w:val="24"/>
          <w:szCs w:val="24"/>
          <w:u w:color="000000"/>
        </w:rPr>
        <w:t xml:space="preserve">4-11    </w:t>
      </w:r>
      <w:r>
        <w:rPr>
          <w:rFonts w:hint="eastAsia" w:ascii="仿宋" w:hAnsi="仿宋" w:eastAsia="仿宋" w:cs="仿宋"/>
          <w:b/>
          <w:bCs/>
          <w:sz w:val="24"/>
          <w:szCs w:val="24"/>
          <w:u w:color="000000"/>
        </w:rPr>
        <w:t>头道桥镇二级公共服务项目用地基准地价修正系数表</w:t>
      </w:r>
    </w:p>
    <w:tbl>
      <w:tblPr>
        <w:tblStyle w:val="37"/>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91"/>
        <w:gridCol w:w="1164"/>
        <w:gridCol w:w="1672"/>
        <w:gridCol w:w="1200"/>
        <w:gridCol w:w="1202"/>
        <w:gridCol w:w="1202"/>
        <w:gridCol w:w="1202"/>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227" w:type="dxa"/>
            <w:gridSpan w:val="3"/>
            <w:vAlign w:val="center"/>
          </w:tcPr>
          <w:p>
            <w:pPr>
              <w:spacing w:line="240" w:lineRule="auto"/>
              <w:ind w:firstLine="1785" w:firstLineChars="850"/>
              <w:jc w:val="right"/>
              <w:rPr>
                <w:rFonts w:ascii="仿宋" w:hAnsi="仿宋" w:eastAsia="仿宋"/>
                <w:color w:val="000000"/>
                <w:kern w:val="0"/>
                <w:sz w:val="21"/>
                <w:szCs w:val="21"/>
                <w:u w:color="000000"/>
              </w:rPr>
            </w:pPr>
            <w:bookmarkStart w:id="75" w:name="_Hlk99023366"/>
            <w:r>
              <w:rPr>
                <w:rFonts w:hint="eastAsia" w:ascii="仿宋" w:hAnsi="仿宋" w:eastAsia="仿宋"/>
                <w:color w:val="000000"/>
                <w:kern w:val="0"/>
                <w:sz w:val="21"/>
                <w:szCs w:val="21"/>
                <w:u w:color="000000"/>
              </w:rPr>
              <w:t>标准</w:t>
            </w:r>
          </w:p>
          <w:p>
            <w:pPr>
              <w:spacing w:line="240" w:lineRule="auto"/>
              <w:ind w:firstLine="1050" w:firstLineChars="500"/>
              <w:jc w:val="both"/>
              <w:rPr>
                <w:rFonts w:ascii="仿宋" w:hAnsi="仿宋" w:eastAsia="仿宋"/>
                <w:color w:val="000000"/>
                <w:kern w:val="0"/>
                <w:sz w:val="21"/>
                <w:szCs w:val="21"/>
                <w:u w:color="000000"/>
              </w:rPr>
            </w:pPr>
            <w:r>
              <w:rPr>
                <w:rFonts w:ascii="仿宋" w:hAnsi="仿宋" w:eastAsia="仿宋"/>
                <w:color w:val="000000"/>
                <w:kern w:val="0"/>
                <w:sz w:val="21"/>
                <w:szCs w:val="21"/>
                <w:u w:color="000000"/>
              </w:rPr>
              <mc:AlternateContent>
                <mc:Choice Requires="wps">
                  <w:drawing>
                    <wp:anchor distT="0" distB="0" distL="114300" distR="114300" simplePos="0" relativeHeight="251826176" behindDoc="0" locked="0" layoutInCell="1" allowOverlap="1">
                      <wp:simplePos x="0" y="0"/>
                      <wp:positionH relativeFrom="column">
                        <wp:posOffset>-22860</wp:posOffset>
                      </wp:positionH>
                      <wp:positionV relativeFrom="paragraph">
                        <wp:posOffset>115570</wp:posOffset>
                      </wp:positionV>
                      <wp:extent cx="1962150" cy="276225"/>
                      <wp:effectExtent l="0" t="0" r="19050" b="28575"/>
                      <wp:wrapNone/>
                      <wp:docPr id="191" name="自选图形 14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62150" cy="276225"/>
                              </a:xfrm>
                              <a:prstGeom prst="straightConnector1">
                                <a:avLst/>
                              </a:prstGeom>
                              <a:noFill/>
                              <a:ln w="9525">
                                <a:solidFill>
                                  <a:srgbClr val="000000"/>
                                </a:solidFill>
                                <a:round/>
                              </a:ln>
                              <a:effectLst/>
                            </wps:spPr>
                            <wps:bodyPr/>
                          </wps:wsp>
                        </a:graphicData>
                      </a:graphic>
                    </wp:anchor>
                  </w:drawing>
                </mc:Choice>
                <mc:Fallback>
                  <w:pict>
                    <v:shape id="自选图形 148" o:spid="_x0000_s1026" o:spt="32" type="#_x0000_t32" style="position:absolute;left:0pt;flip:x y;margin-left:-1.8pt;margin-top:9.1pt;height:21.75pt;width:154.5pt;z-index:251826176;mso-width-relative:page;mso-height-relative:page;" filled="f" stroked="t" coordsize="21600,21600" o:gfxdata="UEsFBgAAAAAAAAAAAAAAAAAAAAAAAFBLAwQKAAAAAACHTuJAAAAAAAAAAAAAAAAABAAAAGRycy9Q&#10;SwMEFAAAAAgAh07iQN5uZpTZAAAACAEAAA8AAABkcnMvZG93bnJldi54bWxNj8FOwzAQRO9I/IO1&#10;SFxQa6ctaRXi9IBERcWhokU9O/E2iYjXUew2ha9nOcFxdkYzb/P11XXigkNoPWlIpgoEUuVtS7WG&#10;j8PLZAUiREPWdJ5QwxcGWBe3N7nJrB/pHS/7WAsuoZAZDU2MfSZlqBp0Jkx9j8TeyQ/ORJZDLe1g&#10;Ri53nZwplUpnWuKFxvT43GD1uT87DYv0UG7GCrdLufse7dvrcbN9cFrf3yXqCUTEa/wLwy8+o0PB&#10;TKU/kw2i0zCZp5zk+2oGgv25elyAKDWkyRJkkcv/DxQ/UEsDBBQAAAAIAIdO4kAl/1ah6QEAAJsD&#10;AAAOAAAAZHJzL2Uyb0RvYy54bWytU8GO0zAQvSPxD5bvNE1EyzZquoeuFg4LVNqFu+s4jYXjscZu&#10;0964Ib6BG8f9B/ibleAvGLvZLgs3RA5WJuN5782byfx83xm2U+g12IrnozFnykqotd1U/N3N5bMz&#10;znwQthYGrKr4QXl+vnj6ZN67UhXQgqkVMgKxvuxdxdsQXJllXraqE34ETllKNoCdCBTiJqtR9ITe&#10;mawYj6dZD1g7BKm8p68XxyRfJPymUTK8bRqvAjMVJ20hnZjOdTyzxVyUGxSu1XKQIf5BRSe0JdIT&#10;1IUIgm1R/wXVaYngoQkjCV0GTaOlSj1QN/n4j26uW+FU6oXM8e5kk/9/sPLNboVM1zS7Wc6ZFR0N&#10;6cen258fP999+X737SvLn59Fl3rnS7q8tCuMfcq9vXZXID94ZmHZCrtRSe3NwRFAwK2KRdmjqhh4&#10;R3Tr/jXUdE1sAyTX9g12rDHavRpqU/B+CCIfOcX2aWyH09jUPjBJH/PZtMgnNF1JueLFtCgmiVyU&#10;ETdWO/ThpYKOxZeK+4BCb9qwBGtpQwDzpELsrnyIqh8KYrGFS21MWhRjWV/x2YQIYsaD0XVMpgA3&#10;66VBthNx1dIzqHh0DWFr6yOJsbFOpS0dmO8tOvq9hvqwwnsfaQOStmFb44r9Hie3H/6px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ebmaU2QAAAAgBAAAPAAAAAAAAAAEAIAAAADgAAABkcnMvZG93&#10;bnJldi54bWxQSwECFAAUAAAACACHTuJAJf9WoekBAACbAwAADgAAAAAAAAABACAAAAA+AQAAZHJz&#10;L2Uyb0RvYy54bWxQSwUGAAAAAAYABgBZAQAAmQUAAAAA&#10;">
                      <v:fill on="f" focussize="0,0"/>
                      <v:stroke color="#000000" joinstyle="round"/>
                      <v:imagedata o:title=""/>
                      <o:lock v:ext="edit" aspectratio="f"/>
                    </v:shape>
                  </w:pict>
                </mc:Fallback>
              </mc:AlternateContent>
            </w:r>
            <w:r>
              <w:rPr>
                <w:rFonts w:hint="eastAsia" w:ascii="仿宋" w:hAnsi="仿宋" w:eastAsia="仿宋"/>
                <w:color w:val="000000"/>
                <w:kern w:val="0"/>
                <w:sz w:val="21"/>
                <w:szCs w:val="21"/>
                <w:u w:color="000000"/>
              </w:rPr>
              <w:t>修正说明</w:t>
            </w:r>
          </w:p>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影响因素</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较优</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一般</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较劣</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restart"/>
            <w:vAlign w:val="center"/>
          </w:tcPr>
          <w:p>
            <w:pPr>
              <w:spacing w:line="240" w:lineRule="auto"/>
              <w:ind w:firstLine="0" w:firstLineChars="0"/>
              <w:jc w:val="both"/>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区域因素</w:t>
            </w: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交通便捷度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道路通达度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0.0394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0.0197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-0.0060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距货运站距离</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0.0350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0.0175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-0.0053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基础设施</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供水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0.0263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0.0131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-0.0040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164"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排水</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环境条件</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地形状况</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391" w:type="dxa"/>
            <w:vMerge w:val="continue"/>
            <w:vAlign w:val="center"/>
          </w:tcPr>
          <w:p>
            <w:pPr>
              <w:spacing w:line="240" w:lineRule="auto"/>
              <w:ind w:firstLine="0" w:firstLineChars="0"/>
              <w:jc w:val="center"/>
              <w:rPr>
                <w:rFonts w:ascii="仿宋" w:hAnsi="仿宋" w:eastAsia="仿宋"/>
                <w:color w:val="000000"/>
                <w:kern w:val="0"/>
                <w:sz w:val="21"/>
                <w:szCs w:val="21"/>
                <w:u w:color="000000"/>
              </w:rPr>
            </w:pPr>
          </w:p>
        </w:tc>
        <w:tc>
          <w:tcPr>
            <w:tcW w:w="1164"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产业集聚度</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产业集聚影响度</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0.0241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0.0120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-0.0037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restart"/>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个别因素</w:t>
            </w: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宗地形状</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宗地面积</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555" w:type="dxa"/>
            <w:gridSpan w:val="2"/>
            <w:vMerge w:val="continue"/>
            <w:vAlign w:val="center"/>
          </w:tcPr>
          <w:p>
            <w:pPr>
              <w:spacing w:line="240" w:lineRule="auto"/>
              <w:ind w:firstLine="0" w:firstLineChars="0"/>
              <w:jc w:val="both"/>
              <w:rPr>
                <w:rFonts w:ascii="仿宋" w:hAnsi="仿宋" w:eastAsia="仿宋"/>
                <w:color w:val="000000"/>
                <w:kern w:val="0"/>
                <w:sz w:val="21"/>
                <w:szCs w:val="21"/>
                <w:u w:color="000000"/>
              </w:rPr>
            </w:pPr>
          </w:p>
        </w:tc>
        <w:tc>
          <w:tcPr>
            <w:tcW w:w="167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ascii="仿宋" w:hAnsi="仿宋" w:eastAsia="仿宋"/>
                <w:color w:val="000000"/>
                <w:kern w:val="0"/>
                <w:sz w:val="21"/>
                <w:szCs w:val="21"/>
                <w:u w:color="000000"/>
              </w:rPr>
              <w:t>工程地质</w:t>
            </w:r>
          </w:p>
        </w:tc>
        <w:tc>
          <w:tcPr>
            <w:tcW w:w="1200"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0.0153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0.0077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0.0000 </w:t>
            </w:r>
          </w:p>
        </w:tc>
        <w:tc>
          <w:tcPr>
            <w:tcW w:w="1202"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-0.0023 </w:t>
            </w:r>
          </w:p>
        </w:tc>
        <w:tc>
          <w:tcPr>
            <w:tcW w:w="1198" w:type="dxa"/>
            <w:vAlign w:val="center"/>
          </w:tcPr>
          <w:p>
            <w:pPr>
              <w:spacing w:line="240" w:lineRule="auto"/>
              <w:ind w:firstLine="0" w:firstLineChars="0"/>
              <w:jc w:val="center"/>
              <w:rPr>
                <w:rFonts w:ascii="仿宋" w:hAnsi="仿宋" w:eastAsia="仿宋"/>
                <w:color w:val="000000"/>
                <w:kern w:val="0"/>
                <w:sz w:val="21"/>
                <w:szCs w:val="21"/>
                <w:u w:color="000000"/>
              </w:rPr>
            </w:pPr>
            <w:r>
              <w:rPr>
                <w:rFonts w:hint="eastAsia" w:eastAsia="仿宋"/>
                <w:color w:val="000000"/>
                <w:kern w:val="0"/>
                <w:sz w:val="21"/>
                <w:szCs w:val="21"/>
                <w:u w:color="000000"/>
              </w:rPr>
              <w:t xml:space="preserve">-0.0047 </w:t>
            </w:r>
          </w:p>
        </w:tc>
      </w:tr>
      <w:bookmarkEnd w:id="75"/>
    </w:tbl>
    <w:p>
      <w:pPr>
        <w:ind w:firstLine="0" w:firstLineChars="0"/>
        <w:jc w:val="both"/>
        <w:rPr>
          <w:rFonts w:eastAsia="仿宋"/>
          <w:color w:val="000000"/>
          <w:kern w:val="0"/>
          <w:szCs w:val="21"/>
          <w:u w:color="000000"/>
        </w:rPr>
        <w:sectPr>
          <w:pgSz w:w="11849" w:h="16781"/>
          <w:pgMar w:top="1417" w:right="1417" w:bottom="1304" w:left="1417" w:header="851" w:footer="992" w:gutter="0"/>
          <w:cols w:space="720" w:num="1"/>
          <w:docGrid w:type="lines" w:linePitch="312" w:charSpace="0"/>
        </w:sectPr>
      </w:pPr>
    </w:p>
    <w:p>
      <w:pPr>
        <w:ind w:firstLine="562"/>
        <w:jc w:val="both"/>
        <w:rPr>
          <w:rFonts w:ascii="仿宋" w:hAnsi="仿宋" w:eastAsia="仿宋" w:cs="仿宋"/>
          <w:b/>
          <w:bCs/>
          <w:color w:val="000000"/>
          <w:kern w:val="0"/>
          <w:szCs w:val="28"/>
          <w:u w:color="000000"/>
        </w:rPr>
      </w:pPr>
      <w:r>
        <w:rPr>
          <w:rFonts w:hint="eastAsia" w:ascii="仿宋" w:hAnsi="仿宋" w:eastAsia="仿宋" w:cs="仿宋"/>
          <w:b/>
          <w:bCs/>
          <w:color w:val="000000"/>
          <w:kern w:val="0"/>
          <w:szCs w:val="28"/>
          <w:u w:color="000000"/>
        </w:rPr>
        <w:t>3、其他修正系数表的编制</w:t>
      </w:r>
    </w:p>
    <w:p>
      <w:pPr>
        <w:ind w:firstLine="560"/>
        <w:jc w:val="both"/>
        <w:rPr>
          <w:rFonts w:ascii="仿宋" w:hAnsi="仿宋" w:eastAsia="仿宋" w:cs="仿宋"/>
          <w:color w:val="000000"/>
          <w:kern w:val="0"/>
          <w:szCs w:val="28"/>
          <w:u w:color="000000"/>
        </w:rPr>
      </w:pPr>
      <w:bookmarkStart w:id="76" w:name="_Toc28168"/>
      <w:bookmarkStart w:id="77" w:name="_Toc30629"/>
      <w:r>
        <w:rPr>
          <w:rFonts w:hint="eastAsia" w:ascii="仿宋" w:hAnsi="仿宋" w:eastAsia="仿宋" w:cs="仿宋"/>
          <w:color w:val="000000"/>
          <w:kern w:val="0"/>
          <w:szCs w:val="28"/>
          <w:u w:color="000000"/>
        </w:rPr>
        <w:t>基准地价是在设定条件下的各用途土地的平均价格。在宗地评估中，宗地土地使用年期、容积率、开发程度等条件不尽一致，从而影响地价水平。因此，在宗地评估中，需要对这些因素进行必要的修正，以客观反映其地价水平。</w:t>
      </w:r>
    </w:p>
    <w:bookmarkEnd w:id="76"/>
    <w:bookmarkEnd w:id="77"/>
    <w:p>
      <w:pPr>
        <w:autoSpaceDN w:val="0"/>
        <w:snapToGrid w:val="0"/>
        <w:spacing w:after="93" w:afterLines="30"/>
        <w:ind w:firstLine="560"/>
        <w:jc w:val="both"/>
        <w:rPr>
          <w:rFonts w:ascii="仿宋" w:hAnsi="仿宋" w:eastAsia="仿宋" w:cs="仿宋"/>
          <w:color w:val="000000"/>
          <w:kern w:val="0"/>
          <w:szCs w:val="28"/>
          <w:u w:color="000000"/>
        </w:rPr>
      </w:pPr>
      <w:bookmarkStart w:id="78" w:name="_Toc17694"/>
      <w:bookmarkStart w:id="79" w:name="_Toc3701"/>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1</w:t>
      </w:r>
      <w:r>
        <w:rPr>
          <w:rFonts w:hint="eastAsia" w:ascii="仿宋" w:hAnsi="仿宋" w:eastAsia="仿宋" w:cs="仿宋"/>
          <w:color w:val="000000"/>
          <w:kern w:val="0"/>
          <w:szCs w:val="28"/>
          <w:u w:color="000000"/>
        </w:rPr>
        <w:t>）使用年期修正</w:t>
      </w:r>
      <w:bookmarkEnd w:id="78"/>
      <w:bookmarkEnd w:id="79"/>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如果待估宗地的土地使用年期不是法定最高土地使用年期（在公共服务项目用地基准地价内涵中界定了各类用地最高使用年期为法定最高出让年期），就必须进行土地使用年期修正。养老、教育、文化、体育和保障性安居工程用地等五类公共服务项目用地的地价直接采用住宅用地使用年期修正系数，能源、环境保护、供水、燃气供应、供热设施用地等五类公共服务项目用地地价直接采用工业用地使用年期修正系数。</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）容积率修正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是代表设定容积率水平下的地价，在进行宗地地价计算时需将基准地价修正到宗地实际容积率水平下的地价。保障性安居工程、养老、教育、文化和体育用地容积率修正系数直接采用住宅用地容积率修正系数表（见表5-</w:t>
      </w:r>
      <w:r>
        <w:rPr>
          <w:rFonts w:ascii="仿宋" w:hAnsi="仿宋" w:eastAsia="仿宋" w:cs="仿宋"/>
          <w:color w:val="000000"/>
          <w:kern w:val="0"/>
          <w:szCs w:val="28"/>
          <w:u w:color="000000"/>
        </w:rPr>
        <w:t>27</w:t>
      </w:r>
      <w:r>
        <w:rPr>
          <w:rFonts w:hint="eastAsia" w:ascii="仿宋" w:hAnsi="仿宋" w:eastAsia="仿宋" w:cs="仿宋"/>
          <w:color w:val="000000"/>
          <w:kern w:val="0"/>
          <w:szCs w:val="28"/>
          <w:u w:color="000000"/>
        </w:rPr>
        <w:t>）。</w:t>
      </w:r>
      <w:bookmarkStart w:id="80" w:name="_Hlk15982936"/>
      <w:r>
        <w:rPr>
          <w:rFonts w:hint="eastAsia" w:ascii="仿宋" w:hAnsi="仿宋" w:eastAsia="仿宋" w:cs="仿宋"/>
          <w:color w:val="000000"/>
          <w:kern w:val="0"/>
          <w:szCs w:val="28"/>
          <w:u w:color="000000"/>
        </w:rPr>
        <w:t>能源、环境保护、供水、燃气供应、供热设施用地</w:t>
      </w:r>
      <w:bookmarkEnd w:id="80"/>
      <w:r>
        <w:rPr>
          <w:rFonts w:hint="eastAsia" w:ascii="仿宋" w:hAnsi="仿宋" w:eastAsia="仿宋" w:cs="仿宋"/>
          <w:color w:val="000000"/>
          <w:kern w:val="0"/>
          <w:szCs w:val="28"/>
          <w:u w:color="000000"/>
        </w:rPr>
        <w:t>不进行容积率修正。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（3）宗地开发程度修正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保障性安居工程、养老、教育、文化和体育用地基准地价设定开发程度均达到“六通一平”（宗地红线外通路、通电、通讯、通上水、通下水、通暖和宗地内土地平整）、能源、环境保护、供水、燃气供应、供热设施用地基准地价设定开发程度达到“五通一平”（宗地红线外通路、通电、通讯、通上水、通下水和宗地内土地平整）条件。若待估宗地基础设施配套程度没有达到设定的开发程度，则利用基准地价来评估宗地地价时需要在上面各项修正的基础上减去相应的配套费用，将地价修正到实际开发程度下。开发费用见表4-4。其计算公式为：</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r</w:t>
      </w:r>
    </w:p>
    <w:p>
      <w:pPr>
        <w:autoSpaceDN w:val="0"/>
        <w:snapToGrid w:val="0"/>
        <w:ind w:firstLine="560" w:firstLineChars="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式中：P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——修正到某一宗地实际开发程度下的宗地地价；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——基准地价；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r</w:t>
      </w:r>
      <w:r>
        <w:rPr>
          <w:rFonts w:hint="eastAsia" w:ascii="仿宋" w:hAnsi="仿宋" w:eastAsia="仿宋" w:cs="仿宋"/>
          <w:color w:val="000000"/>
          <w:kern w:val="0"/>
          <w:szCs w:val="28"/>
          <w:u w:color="000000"/>
        </w:rPr>
        <w:t>——开发状况修正值。</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（2）宗地内开发程度修正</w:t>
      </w:r>
    </w:p>
    <w:p>
      <w:pPr>
        <w:autoSpaceDN w:val="0"/>
        <w:snapToGrid w:val="0"/>
        <w:spacing w:after="93" w:afterLines="3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头道桥镇各类用地宗地内开发程度为“场平”，已达到基准地价设定条件的修正值为零，未达到“场平”的，要进行宗地内开发程度修正(其修正值详见表4-4)。其计算公式为：</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±K</w:t>
      </w:r>
      <w:r>
        <w:rPr>
          <w:rFonts w:hint="eastAsia" w:ascii="仿宋" w:hAnsi="仿宋" w:eastAsia="仿宋" w:cs="仿宋"/>
          <w:color w:val="000000"/>
          <w:kern w:val="0"/>
          <w:szCs w:val="28"/>
          <w:u w:color="000000"/>
          <w:vertAlign w:val="subscript"/>
        </w:rPr>
        <w:t>i</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式中：P</w:t>
      </w:r>
      <w:r>
        <w:rPr>
          <w:rFonts w:hint="eastAsia" w:ascii="仿宋" w:hAnsi="仿宋" w:eastAsia="仿宋" w:cs="仿宋"/>
          <w:color w:val="000000"/>
          <w:kern w:val="0"/>
          <w:szCs w:val="28"/>
          <w:u w:color="000000"/>
          <w:vertAlign w:val="subscript"/>
        </w:rPr>
        <w:t>ls</w:t>
      </w:r>
      <w:r>
        <w:rPr>
          <w:rFonts w:hint="eastAsia" w:ascii="仿宋" w:hAnsi="仿宋" w:eastAsia="仿宋" w:cs="仿宋"/>
          <w:color w:val="000000"/>
          <w:kern w:val="0"/>
          <w:szCs w:val="28"/>
          <w:u w:color="000000"/>
        </w:rPr>
        <w:t>——修正到某一宗地实际开发程度下的宗地地价；</w:t>
      </w:r>
    </w:p>
    <w:p>
      <w:pPr>
        <w:autoSpaceDN w:val="0"/>
        <w:snapToGrid w:val="0"/>
        <w:ind w:firstLine="1400" w:firstLineChars="50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P</w:t>
      </w:r>
      <w:r>
        <w:rPr>
          <w:rFonts w:hint="eastAsia" w:ascii="仿宋" w:hAnsi="仿宋" w:eastAsia="仿宋" w:cs="仿宋"/>
          <w:color w:val="000000"/>
          <w:kern w:val="0"/>
          <w:szCs w:val="28"/>
          <w:u w:color="000000"/>
          <w:vertAlign w:val="subscript"/>
        </w:rPr>
        <w:t>li</w:t>
      </w:r>
      <w:r>
        <w:rPr>
          <w:rFonts w:hint="eastAsia" w:ascii="仿宋" w:hAnsi="仿宋" w:eastAsia="仿宋" w:cs="仿宋"/>
          <w:color w:val="000000"/>
          <w:kern w:val="0"/>
          <w:szCs w:val="28"/>
          <w:u w:color="000000"/>
        </w:rPr>
        <w:t>——基准地价；</w:t>
      </w:r>
    </w:p>
    <w:p>
      <w:pPr>
        <w:ind w:firstLine="560"/>
        <w:jc w:val="both"/>
        <w:sectPr>
          <w:pgSz w:w="11907" w:h="16840"/>
          <w:pgMar w:top="1418" w:right="1440" w:bottom="1701" w:left="1440" w:header="851" w:footer="992" w:gutter="0"/>
          <w:cols w:space="720" w:num="1"/>
          <w:docGrid w:type="lines" w:linePitch="312" w:charSpace="0"/>
        </w:sectPr>
      </w:pPr>
      <w:r>
        <w:rPr>
          <w:rFonts w:hint="eastAsia" w:ascii="仿宋" w:hAnsi="仿宋" w:eastAsia="仿宋" w:cs="仿宋"/>
          <w:color w:val="000000"/>
          <w:kern w:val="0"/>
          <w:szCs w:val="28"/>
          <w:u w:color="000000"/>
        </w:rPr>
        <w:t>Ki——宗地条件达到“场平”时修正值。</w:t>
      </w:r>
    </w:p>
    <w:p>
      <w:pPr>
        <w:pStyle w:val="20"/>
        <w:spacing w:before="312" w:beforeLines="100" w:after="312" w:afterLines="100"/>
        <w:ind w:firstLine="0" w:firstLineChars="0"/>
        <w:jc w:val="both"/>
        <w:outlineLvl w:val="0"/>
        <w:rPr>
          <w:rFonts w:ascii="黑体" w:hAnsi="黑体" w:eastAsia="黑体" w:cs="黑体"/>
          <w:sz w:val="32"/>
          <w:szCs w:val="32"/>
          <w:u w:color="000000"/>
        </w:rPr>
      </w:pPr>
      <w:bookmarkStart w:id="81" w:name="_Toc143875241"/>
      <w:r>
        <w:rPr>
          <w:rFonts w:hint="eastAsia" w:ascii="黑体" w:hAnsi="黑体" w:eastAsia="黑体" w:cs="黑体"/>
          <w:sz w:val="32"/>
          <w:szCs w:val="32"/>
          <w:u w:color="000000"/>
        </w:rPr>
        <w:t>五、杭锦后旗头道桥镇</w:t>
      </w:r>
      <w:r>
        <w:rPr>
          <w:rFonts w:ascii="黑体" w:hAnsi="黑体" w:eastAsia="黑体" w:cs="黑体"/>
          <w:sz w:val="32"/>
          <w:szCs w:val="32"/>
          <w:u w:color="000000"/>
        </w:rPr>
        <w:t>基准地价成果应用建议</w:t>
      </w:r>
      <w:bookmarkEnd w:id="81"/>
    </w:p>
    <w:p>
      <w:pPr>
        <w:spacing w:before="156" w:beforeLines="50" w:after="156" w:afterLines="50"/>
        <w:ind w:firstLine="602"/>
        <w:jc w:val="both"/>
        <w:outlineLvl w:val="1"/>
        <w:rPr>
          <w:rFonts w:ascii="仿宋" w:hAnsi="仿宋" w:eastAsia="仿宋"/>
          <w:b/>
          <w:bCs/>
          <w:color w:val="000000"/>
          <w:kern w:val="0"/>
          <w:sz w:val="30"/>
          <w:szCs w:val="30"/>
          <w:u w:color="000000"/>
        </w:rPr>
      </w:pPr>
      <w:bookmarkStart w:id="82" w:name="_Toc202609107"/>
      <w:bookmarkStart w:id="83" w:name="_Toc277577822"/>
      <w:bookmarkStart w:id="84" w:name="_Toc359668173"/>
      <w:bookmarkStart w:id="85" w:name="_Toc384384605"/>
      <w:bookmarkStart w:id="86" w:name="_Toc438149417"/>
      <w:bookmarkStart w:id="87" w:name="_Toc222800752"/>
      <w:bookmarkStart w:id="88" w:name="_Toc167520442"/>
      <w:bookmarkStart w:id="89" w:name="_Toc166654223"/>
      <w:bookmarkStart w:id="90" w:name="_Toc438149099"/>
      <w:bookmarkStart w:id="91" w:name="_Toc23040"/>
      <w:bookmarkStart w:id="92" w:name="_Toc13853"/>
      <w:bookmarkStart w:id="93" w:name="_Toc16434"/>
      <w:bookmarkStart w:id="94" w:name="_Toc25912"/>
      <w:bookmarkStart w:id="95" w:name="_Toc143875242"/>
      <w:bookmarkStart w:id="96" w:name="_Toc24176"/>
      <w:bookmarkStart w:id="97" w:name="_Toc438149100"/>
      <w:bookmarkStart w:id="98" w:name="_Toc438149418"/>
      <w:bookmarkStart w:id="99" w:name="_Toc13367"/>
      <w:bookmarkStart w:id="100" w:name="_Toc2526"/>
      <w:r>
        <w:rPr>
          <w:rFonts w:hint="eastAsia" w:ascii="仿宋" w:hAnsi="仿宋" w:eastAsia="仿宋"/>
          <w:b/>
          <w:bCs/>
          <w:color w:val="000000"/>
          <w:kern w:val="0"/>
          <w:sz w:val="30"/>
          <w:szCs w:val="30"/>
          <w:u w:color="000000"/>
        </w:rPr>
        <w:t>（一）杭锦后旗头道桥镇基准地价主要成果</w:t>
      </w:r>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4"/>
        <w:keepLines/>
        <w:snapToGrid w:val="0"/>
        <w:ind w:left="0" w:leftChars="0" w:firstLine="562" w:firstLineChars="200"/>
        <w:jc w:val="both"/>
        <w:rPr>
          <w:rFonts w:ascii="仿宋" w:hAnsi="仿宋" w:eastAsia="仿宋" w:cs="仿宋"/>
        </w:rPr>
      </w:pPr>
      <w:r>
        <w:rPr>
          <w:rFonts w:hint="eastAsia" w:ascii="仿宋" w:hAnsi="仿宋" w:eastAsia="仿宋" w:cs="仿宋"/>
        </w:rPr>
        <w:t>1、基准地价的概念</w:t>
      </w:r>
      <w:bookmarkEnd w:id="96"/>
      <w:bookmarkEnd w:id="97"/>
      <w:bookmarkEnd w:id="98"/>
      <w:bookmarkEnd w:id="99"/>
      <w:bookmarkEnd w:id="100"/>
    </w:p>
    <w:p>
      <w:pPr>
        <w:snapToGrid w:val="0"/>
        <w:ind w:firstLine="560"/>
        <w:jc w:val="both"/>
        <w:rPr>
          <w:rFonts w:ascii="仿宋" w:hAnsi="仿宋" w:eastAsia="仿宋" w:cs="仿宋"/>
          <w:szCs w:val="28"/>
        </w:rPr>
      </w:pPr>
      <w:r>
        <w:rPr>
          <w:rFonts w:hint="eastAsia" w:ascii="仿宋" w:hAnsi="仿宋" w:eastAsia="仿宋" w:cs="仿宋"/>
          <w:szCs w:val="28"/>
        </w:rPr>
        <w:t>基准地价是指在城镇规划区范围内，对现状利用并结合近期规划条件下,不同级别或不同均质地域的土地，按照商服、住宅、公共服务项目、工业等用途，分别评估出某一估价基准日法定最高出让年期的土地使用权区域平均价格。因此基准地价的实质是城镇内某一土地级别或均质地域内土地的平均价格。</w:t>
      </w:r>
    </w:p>
    <w:p>
      <w:pPr>
        <w:pStyle w:val="4"/>
        <w:keepNext w:val="0"/>
        <w:snapToGrid w:val="0"/>
        <w:ind w:left="0" w:leftChars="0" w:firstLine="562" w:firstLineChars="200"/>
        <w:jc w:val="both"/>
        <w:rPr>
          <w:rFonts w:ascii="仿宋" w:hAnsi="仿宋" w:eastAsia="仿宋" w:cs="仿宋"/>
        </w:rPr>
      </w:pPr>
      <w:bookmarkStart w:id="101" w:name="_Toc5774"/>
      <w:bookmarkStart w:id="102" w:name="_Toc438149419"/>
      <w:bookmarkStart w:id="103" w:name="_Toc9660"/>
      <w:bookmarkStart w:id="104" w:name="_Toc438149101"/>
      <w:bookmarkStart w:id="105" w:name="_Toc1668"/>
      <w:r>
        <w:rPr>
          <w:rFonts w:hint="eastAsia" w:ascii="仿宋" w:hAnsi="仿宋" w:eastAsia="仿宋" w:cs="仿宋"/>
        </w:rPr>
        <w:t>2、</w:t>
      </w:r>
      <w:r>
        <w:rPr>
          <w:rFonts w:hint="eastAsia" w:ascii="仿宋" w:hAnsi="仿宋" w:eastAsia="仿宋" w:cs="仿宋"/>
          <w:sz w:val="30"/>
          <w:szCs w:val="30"/>
        </w:rPr>
        <w:t>杭锦后旗头道桥镇</w:t>
      </w:r>
      <w:r>
        <w:rPr>
          <w:rFonts w:hint="eastAsia" w:ascii="仿宋" w:hAnsi="仿宋" w:eastAsia="仿宋" w:cs="仿宋"/>
        </w:rPr>
        <w:t>基准地价主要成果</w:t>
      </w:r>
      <w:bookmarkEnd w:id="101"/>
      <w:bookmarkEnd w:id="102"/>
      <w:bookmarkEnd w:id="103"/>
      <w:bookmarkEnd w:id="104"/>
      <w:bookmarkEnd w:id="105"/>
    </w:p>
    <w:p>
      <w:pPr>
        <w:snapToGrid w:val="0"/>
        <w:ind w:firstLine="560"/>
        <w:jc w:val="both"/>
        <w:rPr>
          <w:rFonts w:ascii="仿宋" w:hAnsi="仿宋" w:eastAsia="仿宋" w:cs="仿宋"/>
          <w:color w:val="000000"/>
          <w:kern w:val="0"/>
          <w:szCs w:val="28"/>
          <w:u w:color="000000"/>
        </w:rPr>
      </w:pPr>
      <w:bookmarkStart w:id="106" w:name="_Toc438149420"/>
      <w:bookmarkStart w:id="107" w:name="_Toc12383"/>
      <w:bookmarkStart w:id="108" w:name="_Toc222800753"/>
      <w:bookmarkStart w:id="109" w:name="_Toc277577823"/>
      <w:bookmarkStart w:id="110" w:name="_Toc7167"/>
      <w:bookmarkStart w:id="111" w:name="_Toc166654224"/>
      <w:bookmarkStart w:id="112" w:name="_Toc167520443"/>
      <w:bookmarkStart w:id="113" w:name="_Toc359668174"/>
      <w:bookmarkStart w:id="114" w:name="_Toc77650987"/>
      <w:bookmarkStart w:id="115" w:name="_Toc202609108"/>
      <w:bookmarkStart w:id="116" w:name="_Toc18926"/>
      <w:bookmarkStart w:id="117" w:name="_Toc384384606"/>
      <w:bookmarkStart w:id="118" w:name="_Toc438149102"/>
      <w:bookmarkStart w:id="119" w:name="_Toc4831"/>
      <w:r>
        <w:rPr>
          <w:rFonts w:hint="eastAsia" w:ascii="仿宋" w:hAnsi="仿宋" w:eastAsia="仿宋" w:cs="仿宋"/>
          <w:color w:val="000000"/>
          <w:kern w:val="0"/>
          <w:szCs w:val="28"/>
          <w:u w:color="000000"/>
        </w:rPr>
        <w:t>本轮基准地价更新范围为杭锦后旗头道桥镇内</w:t>
      </w:r>
      <w:r>
        <w:rPr>
          <w:rFonts w:ascii="仿宋" w:hAnsi="仿宋" w:eastAsia="仿宋" w:cs="仿宋"/>
          <w:color w:val="000000"/>
          <w:kern w:val="0"/>
          <w:szCs w:val="28"/>
          <w:u w:color="000000"/>
        </w:rPr>
        <w:t>1.79</w:t>
      </w:r>
      <w:r>
        <w:rPr>
          <w:rFonts w:hint="eastAsia" w:ascii="仿宋" w:hAnsi="仿宋" w:eastAsia="仿宋" w:cs="仿宋"/>
          <w:color w:val="000000"/>
          <w:kern w:val="0"/>
          <w:szCs w:val="28"/>
          <w:u w:color="000000"/>
        </w:rPr>
        <w:t>平方公里。工作项目组在对头道桥镇本轮土地级别及基准地价更新时，采用综合因素定级法用网格进行土地级别划分，</w:t>
      </w:r>
      <w:r>
        <w:rPr>
          <w:rFonts w:hint="eastAsia" w:ascii="仿宋" w:hAnsi="仿宋" w:cs="仿宋"/>
          <w:szCs w:val="28"/>
        </w:rPr>
        <w:t>最终确定头道桥镇商服用地、住宅用地三个级别，工业用地俩个级别，</w:t>
      </w:r>
      <w:r>
        <w:rPr>
          <w:rFonts w:hint="eastAsia" w:ascii="仿宋" w:hAnsi="仿宋" w:eastAsia="仿宋" w:cs="仿宋"/>
          <w:color w:val="000000"/>
          <w:kern w:val="0"/>
          <w:szCs w:val="28"/>
          <w:u w:color="000000"/>
        </w:rPr>
        <w:t>并测算出各类用地不同级别的基准地价。</w:t>
      </w:r>
    </w:p>
    <w:p>
      <w:pPr>
        <w:snapToGrid w:val="0"/>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-1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杭锦后旗头道桥镇商服、住宅、工业用地基准地价表</w:t>
      </w:r>
    </w:p>
    <w:tbl>
      <w:tblPr>
        <w:tblStyle w:val="3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09"/>
        <w:gridCol w:w="1135"/>
        <w:gridCol w:w="1137"/>
        <w:gridCol w:w="1136"/>
        <w:gridCol w:w="1137"/>
        <w:gridCol w:w="113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restart"/>
            <w:tcBorders>
              <w:tl2br w:val="single" w:color="auto" w:sz="4" w:space="0"/>
            </w:tcBorders>
            <w:vAlign w:val="center"/>
          </w:tcPr>
          <w:p>
            <w:pPr>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2272"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商服用地地价</w:t>
            </w:r>
          </w:p>
        </w:tc>
        <w:tc>
          <w:tcPr>
            <w:tcW w:w="2273"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住宅用地地价</w:t>
            </w:r>
          </w:p>
        </w:tc>
        <w:tc>
          <w:tcPr>
            <w:tcW w:w="2271" w:type="dxa"/>
            <w:gridSpan w:val="2"/>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工业用地地价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Merge w:val="continue"/>
            <w:vAlign w:val="center"/>
          </w:tcPr>
          <w:p>
            <w:pPr>
              <w:ind w:firstLine="0" w:firstLineChars="0"/>
              <w:jc w:val="center"/>
              <w:rPr>
                <w:rFonts w:ascii="仿宋" w:hAnsi="仿宋" w:eastAsia="仿宋" w:cs="仿宋"/>
                <w:color w:val="000000"/>
                <w:kern w:val="0"/>
                <w:sz w:val="24"/>
                <w:szCs w:val="24"/>
                <w:u w:color="000000"/>
              </w:rPr>
            </w:pP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170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11.33</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150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10</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95</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145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9.67</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8.33</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85</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209"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1135"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125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8.33</w:t>
            </w:r>
          </w:p>
        </w:tc>
        <w:tc>
          <w:tcPr>
            <w:tcW w:w="1136"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95</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6.33</w:t>
            </w:r>
          </w:p>
        </w:tc>
        <w:tc>
          <w:tcPr>
            <w:tcW w:w="1137" w:type="dxa"/>
            <w:vAlign w:val="center"/>
          </w:tcPr>
          <w:p>
            <w:pPr>
              <w:ind w:firstLine="0" w:firstLineChars="0"/>
              <w:jc w:val="center"/>
              <w:rPr>
                <w:rFonts w:ascii="仿宋" w:hAnsi="仿宋" w:eastAsia="仿宋" w:cs="仿宋"/>
                <w:color w:val="000000"/>
                <w:kern w:val="0"/>
                <w:sz w:val="24"/>
                <w:szCs w:val="24"/>
                <w:u w:color="000000"/>
              </w:rPr>
            </w:pPr>
            <w:r>
              <w:rPr>
                <w:rFonts w:hint="eastAsia" w:ascii="仿宋" w:hAnsi="仿宋" w:cs="仿宋"/>
                <w:sz w:val="24"/>
                <w:szCs w:val="24"/>
              </w:rPr>
              <w:t>\</w:t>
            </w:r>
          </w:p>
        </w:tc>
        <w:tc>
          <w:tcPr>
            <w:tcW w:w="1134" w:type="dxa"/>
            <w:vAlign w:val="center"/>
          </w:tcPr>
          <w:p>
            <w:pPr>
              <w:ind w:firstLine="0" w:firstLineChars="0"/>
              <w:jc w:val="center"/>
              <w:rPr>
                <w:rFonts w:ascii="仿宋" w:hAnsi="仿宋" w:eastAsia="仿宋" w:cs="仿宋"/>
                <w:color w:val="000000"/>
                <w:kern w:val="0"/>
                <w:sz w:val="24"/>
                <w:szCs w:val="24"/>
                <w:u w:color="000000"/>
              </w:rPr>
            </w:pPr>
            <w:r>
              <w:rPr>
                <w:rFonts w:ascii="仿宋" w:hAnsi="仿宋" w:cs="仿宋"/>
                <w:sz w:val="24"/>
                <w:szCs w:val="24"/>
              </w:rPr>
              <w:t>\</w:t>
            </w:r>
          </w:p>
        </w:tc>
      </w:tr>
    </w:tbl>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基准地价定义：</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（2）土地使用年期：商服用地40年、住宅用地70年、工业用地50年；</w:t>
      </w:r>
    </w:p>
    <w:p>
      <w:pPr>
        <w:autoSpaceDN w:val="0"/>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（3）容积率：商服用地1.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、住宅用地1.</w:t>
      </w:r>
      <w:r>
        <w:rPr>
          <w:rFonts w:ascii="仿宋" w:hAnsi="仿宋" w:eastAsia="仿宋" w:cs="仿宋"/>
          <w:color w:val="000000"/>
          <w:kern w:val="0"/>
          <w:szCs w:val="28"/>
          <w:u w:color="000000"/>
        </w:rPr>
        <w:t>0</w:t>
      </w:r>
      <w:r>
        <w:rPr>
          <w:rFonts w:hint="eastAsia" w:ascii="仿宋" w:hAnsi="仿宋" w:eastAsia="仿宋" w:cs="仿宋"/>
          <w:color w:val="000000"/>
          <w:kern w:val="0"/>
          <w:szCs w:val="28"/>
          <w:u w:color="000000"/>
        </w:rPr>
        <w:t>、工业用地0.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autoSpaceDN w:val="0"/>
        <w:snapToGrid w:val="0"/>
        <w:ind w:firstLine="560"/>
        <w:jc w:val="both"/>
        <w:rPr>
          <w:rFonts w:ascii="仿宋" w:hAnsi="仿宋" w:eastAsia="仿宋" w:cs="仿宋"/>
          <w:color w:val="000000"/>
          <w:kern w:val="0"/>
          <w:szCs w:val="28"/>
          <w:highlight w:val="yellow"/>
          <w:u w:color="000000"/>
        </w:rPr>
      </w:pPr>
      <w:r>
        <w:rPr>
          <w:rFonts w:hint="eastAsia" w:ascii="仿宋" w:hAnsi="仿宋" w:eastAsia="仿宋" w:cs="仿宋"/>
          <w:color w:val="000000"/>
          <w:kern w:val="0"/>
          <w:szCs w:val="28"/>
          <w:u w:color="000000"/>
        </w:rPr>
        <w:t>（4）开发程度：商服用地、住宅用地、工业用地“五通一平”（宗地红线外通路、通上水、通下水、通电、通讯和宗地内场地平整）。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snapToGrid w:val="0"/>
        <w:ind w:firstLine="562"/>
        <w:jc w:val="both"/>
        <w:rPr>
          <w:rFonts w:ascii="仿宋" w:hAnsi="仿宋" w:eastAsia="仿宋" w:cs="仿宋"/>
          <w:color w:val="000000"/>
          <w:kern w:val="0"/>
          <w:szCs w:val="28"/>
          <w:u w:color="000000"/>
        </w:rPr>
      </w:pPr>
      <w:r>
        <w:rPr>
          <w:rFonts w:hint="eastAsia" w:ascii="仿宋" w:hAnsi="仿宋" w:eastAsia="仿宋" w:cs="仿宋"/>
          <w:b/>
          <w:bCs/>
          <w:color w:val="000000"/>
          <w:kern w:val="0"/>
          <w:szCs w:val="28"/>
          <w:u w:color="000000"/>
        </w:rPr>
        <w:t>3、杭锦后旗头道桥镇公共服务项目用地基准地价主要成果</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（1）估价基准日：20</w:t>
      </w:r>
      <w:r>
        <w:rPr>
          <w:rFonts w:ascii="仿宋" w:hAnsi="仿宋" w:eastAsia="仿宋" w:cs="仿宋"/>
          <w:color w:val="000000"/>
          <w:kern w:val="0"/>
          <w:szCs w:val="28"/>
          <w:u w:color="000000"/>
        </w:rPr>
        <w:t>23</w:t>
      </w:r>
      <w:r>
        <w:rPr>
          <w:rFonts w:hint="eastAsia" w:ascii="仿宋" w:hAnsi="仿宋" w:eastAsia="仿宋" w:cs="仿宋"/>
          <w:color w:val="000000"/>
          <w:kern w:val="0"/>
          <w:szCs w:val="28"/>
          <w:u w:color="000000"/>
        </w:rPr>
        <w:t>年1月1日；</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（2）土地使用年期：保障性安居工程用地70年，其它九类（养老、教育、文化、体育、能源、环境保护、供水、燃气供应、供热设施）用地为50年。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（3）容积率：保障性安居工程、养老、教育、文化和体育用地参照住宅用地的设定容积率为1.</w:t>
      </w:r>
      <w:r>
        <w:rPr>
          <w:rFonts w:ascii="仿宋" w:hAnsi="仿宋" w:eastAsia="仿宋" w:cs="仿宋"/>
          <w:color w:val="000000"/>
          <w:kern w:val="0"/>
          <w:szCs w:val="28"/>
          <w:u w:color="000000"/>
        </w:rPr>
        <w:t>2</w:t>
      </w:r>
      <w:r>
        <w:rPr>
          <w:rFonts w:hint="eastAsia" w:ascii="仿宋" w:hAnsi="仿宋" w:eastAsia="仿宋" w:cs="仿宋"/>
          <w:color w:val="000000"/>
          <w:kern w:val="0"/>
          <w:szCs w:val="28"/>
          <w:u w:color="000000"/>
        </w:rPr>
        <w:t>；能源、环境保护、供水、燃气供应、供热设施用地参照工业用地的设定容积率为0.</w:t>
      </w:r>
      <w:r>
        <w:rPr>
          <w:rFonts w:ascii="仿宋" w:hAnsi="仿宋" w:eastAsia="仿宋" w:cs="仿宋"/>
          <w:color w:val="000000"/>
          <w:kern w:val="0"/>
          <w:szCs w:val="28"/>
          <w:u w:color="000000"/>
        </w:rPr>
        <w:t>6</w:t>
      </w:r>
      <w:r>
        <w:rPr>
          <w:rFonts w:hint="eastAsia" w:ascii="仿宋" w:hAnsi="仿宋" w:eastAsia="仿宋" w:cs="仿宋"/>
          <w:color w:val="000000"/>
          <w:kern w:val="0"/>
          <w:szCs w:val="28"/>
          <w:u w:color="000000"/>
        </w:rPr>
        <w:t>。</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4）开发程度：保障性安居工程、养老、教育、文化和体育用地、能源、环境保护、供水、燃气供应、供热设施用地参照工业用地均为“五通一平”（宗地红线外通路、通上水、通下水、通电、通讯和宗地内场地平整）。</w:t>
      </w:r>
    </w:p>
    <w:p>
      <w:pPr>
        <w:snapToGrid w:val="0"/>
        <w:ind w:firstLine="560"/>
        <w:jc w:val="both"/>
        <w:rPr>
          <w:rFonts w:ascii="仿宋" w:hAnsi="仿宋" w:eastAsia="仿宋" w:cs="仿宋"/>
          <w:color w:val="000000"/>
          <w:kern w:val="0"/>
          <w:szCs w:val="28"/>
          <w:u w:color="000000"/>
        </w:rPr>
      </w:pPr>
      <w:r>
        <w:rPr>
          <w:rFonts w:hint="eastAsia" w:ascii="仿宋" w:hAnsi="仿宋" w:eastAsia="仿宋" w:cs="仿宋"/>
          <w:color w:val="000000"/>
          <w:kern w:val="0"/>
          <w:szCs w:val="28"/>
          <w:u w:color="000000"/>
        </w:rPr>
        <w:t>（5）权利状况：国有出让土地使用权，无他项权利限制。</w:t>
      </w:r>
    </w:p>
    <w:p>
      <w:pPr>
        <w:ind w:firstLine="0" w:firstLineChars="0"/>
        <w:jc w:val="center"/>
        <w:rPr>
          <w:rFonts w:ascii="仿宋" w:hAnsi="仿宋" w:eastAsia="仿宋" w:cs="仿宋"/>
          <w:b/>
          <w:color w:val="000000"/>
          <w:kern w:val="0"/>
          <w:szCs w:val="28"/>
          <w:u w:color="000000"/>
        </w:rPr>
      </w:pPr>
      <w:r>
        <w:rPr>
          <w:rFonts w:hint="eastAsia" w:ascii="仿宋" w:hAnsi="仿宋" w:eastAsia="仿宋" w:cs="仿宋"/>
          <w:b/>
          <w:color w:val="000000"/>
          <w:kern w:val="0"/>
          <w:sz w:val="24"/>
          <w:szCs w:val="24"/>
          <w:u w:color="000000"/>
        </w:rPr>
        <w:t>表</w:t>
      </w:r>
      <w:r>
        <w:rPr>
          <w:rFonts w:ascii="仿宋" w:hAnsi="仿宋" w:eastAsia="仿宋" w:cs="仿宋"/>
          <w:b/>
          <w:color w:val="000000"/>
          <w:kern w:val="0"/>
          <w:sz w:val="24"/>
          <w:szCs w:val="24"/>
          <w:u w:color="000000"/>
        </w:rPr>
        <w:t>5</w:t>
      </w:r>
      <w:r>
        <w:rPr>
          <w:rFonts w:hint="eastAsia" w:ascii="仿宋" w:hAnsi="仿宋" w:eastAsia="仿宋" w:cs="仿宋"/>
          <w:b/>
          <w:color w:val="000000"/>
          <w:kern w:val="0"/>
          <w:sz w:val="24"/>
          <w:szCs w:val="24"/>
          <w:u w:color="000000"/>
        </w:rPr>
        <w:t xml:space="preserve">-2 </w:t>
      </w:r>
      <w:r>
        <w:rPr>
          <w:rFonts w:ascii="仿宋" w:hAnsi="仿宋" w:eastAsia="仿宋" w:cs="仿宋"/>
          <w:b/>
          <w:color w:val="000000"/>
          <w:kern w:val="0"/>
          <w:sz w:val="24"/>
          <w:szCs w:val="24"/>
          <w:u w:color="000000"/>
        </w:rPr>
        <w:t xml:space="preserve">  </w:t>
      </w:r>
      <w:r>
        <w:rPr>
          <w:rFonts w:hint="eastAsia" w:ascii="仿宋" w:hAnsi="仿宋" w:eastAsia="仿宋" w:cs="仿宋"/>
          <w:b/>
          <w:color w:val="000000"/>
          <w:kern w:val="0"/>
          <w:sz w:val="24"/>
          <w:szCs w:val="24"/>
          <w:u w:color="000000"/>
        </w:rPr>
        <w:t xml:space="preserve"> 杭锦后旗头道桥镇公共服务项目用地基准地价表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2"/>
        <w:gridCol w:w="1612"/>
        <w:gridCol w:w="1612"/>
        <w:gridCol w:w="1961"/>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Merge w:val="restart"/>
            <w:tcBorders>
              <w:tl2br w:val="single" w:color="auto" w:sz="4" w:space="0"/>
            </w:tcBorders>
            <w:vAlign w:val="center"/>
          </w:tcPr>
          <w:p>
            <w:pPr>
              <w:spacing w:line="276" w:lineRule="auto"/>
              <w:ind w:firstLine="0" w:firstLineChars="0"/>
              <w:jc w:val="right"/>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类型</w:t>
            </w:r>
          </w:p>
          <w:p>
            <w:pPr>
              <w:spacing w:line="276" w:lineRule="auto"/>
              <w:ind w:firstLine="0" w:firstLineChars="0"/>
              <w:jc w:val="both"/>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级别</w:t>
            </w:r>
          </w:p>
        </w:tc>
        <w:tc>
          <w:tcPr>
            <w:tcW w:w="1783" w:type="pct"/>
            <w:gridSpan w:val="2"/>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保障性安居工程用地养老、教育、文化和体育用地</w:t>
            </w:r>
          </w:p>
        </w:tc>
        <w:tc>
          <w:tcPr>
            <w:tcW w:w="2170" w:type="pct"/>
            <w:gridSpan w:val="2"/>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能源、环境保护、供水、燃气供应、供热设施用地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Merge w:val="continue"/>
            <w:vAlign w:val="center"/>
          </w:tcPr>
          <w:p>
            <w:pPr>
              <w:spacing w:line="276" w:lineRule="auto"/>
              <w:ind w:firstLine="0" w:firstLineChars="0"/>
              <w:jc w:val="center"/>
              <w:rPr>
                <w:rFonts w:ascii="仿宋" w:hAnsi="仿宋" w:eastAsia="仿宋" w:cs="仿宋"/>
                <w:color w:val="000000"/>
                <w:kern w:val="0"/>
                <w:sz w:val="24"/>
                <w:szCs w:val="24"/>
                <w:u w:color="000000"/>
              </w:rPr>
            </w:pP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元/㎡</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万元/亩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Ⅰ</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150</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10</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95</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Ⅱ</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125</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8.33</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85</w:t>
            </w:r>
          </w:p>
        </w:tc>
        <w:tc>
          <w:tcPr>
            <w:tcW w:w="1085"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47"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Ⅲ</w:t>
            </w:r>
          </w:p>
        </w:tc>
        <w:tc>
          <w:tcPr>
            <w:tcW w:w="892" w:type="pct"/>
            <w:vAlign w:val="center"/>
          </w:tcPr>
          <w:p>
            <w:pPr>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95</w:t>
            </w:r>
          </w:p>
        </w:tc>
        <w:tc>
          <w:tcPr>
            <w:tcW w:w="892" w:type="pct"/>
            <w:vAlign w:val="center"/>
          </w:tcPr>
          <w:p>
            <w:pPr>
              <w:tabs>
                <w:tab w:val="left" w:pos="415"/>
              </w:tabs>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6.33</w:t>
            </w:r>
          </w:p>
        </w:tc>
        <w:tc>
          <w:tcPr>
            <w:tcW w:w="1085" w:type="pct"/>
            <w:vAlign w:val="center"/>
          </w:tcPr>
          <w:p>
            <w:pPr>
              <w:tabs>
                <w:tab w:val="left" w:pos="415"/>
              </w:tabs>
              <w:spacing w:line="276" w:lineRule="auto"/>
              <w:ind w:firstLine="0" w:firstLineChars="0"/>
              <w:jc w:val="center"/>
              <w:rPr>
                <w:rFonts w:ascii="仿宋" w:hAnsi="仿宋" w:eastAsia="仿宋" w:cs="仿宋"/>
                <w:color w:val="000000"/>
                <w:kern w:val="0"/>
                <w:sz w:val="24"/>
                <w:szCs w:val="24"/>
                <w:u w:color="000000"/>
              </w:rPr>
            </w:pPr>
            <w:r>
              <w:rPr>
                <w:rFonts w:hint="eastAsia" w:ascii="仿宋" w:hAnsi="仿宋" w:eastAsia="仿宋" w:cs="仿宋"/>
                <w:color w:val="000000"/>
                <w:kern w:val="0"/>
                <w:sz w:val="24"/>
                <w:szCs w:val="24"/>
                <w:u w:color="000000"/>
              </w:rPr>
              <w:t>\</w:t>
            </w:r>
          </w:p>
        </w:tc>
        <w:tc>
          <w:tcPr>
            <w:tcW w:w="1085" w:type="pct"/>
            <w:vAlign w:val="center"/>
          </w:tcPr>
          <w:p>
            <w:pPr>
              <w:tabs>
                <w:tab w:val="left" w:pos="415"/>
              </w:tabs>
              <w:spacing w:line="276" w:lineRule="auto"/>
              <w:ind w:firstLine="0" w:firstLineChars="0"/>
              <w:jc w:val="center"/>
              <w:rPr>
                <w:rFonts w:ascii="仿宋" w:hAnsi="仿宋" w:eastAsia="仿宋" w:cs="仿宋"/>
                <w:color w:val="000000"/>
                <w:kern w:val="0"/>
                <w:sz w:val="24"/>
                <w:szCs w:val="24"/>
                <w:u w:color="000000"/>
              </w:rPr>
            </w:pPr>
            <w:r>
              <w:rPr>
                <w:rFonts w:ascii="仿宋" w:hAnsi="仿宋" w:eastAsia="仿宋" w:cs="仿宋"/>
                <w:color w:val="000000"/>
                <w:kern w:val="0"/>
                <w:sz w:val="24"/>
                <w:szCs w:val="24"/>
                <w:u w:color="000000"/>
              </w:rPr>
              <w:t>\</w:t>
            </w:r>
          </w:p>
        </w:tc>
      </w:tr>
    </w:tbl>
    <w:p>
      <w:pPr>
        <w:spacing w:before="156" w:beforeLines="50" w:after="156" w:afterLines="50"/>
        <w:ind w:firstLine="602"/>
        <w:jc w:val="both"/>
        <w:outlineLvl w:val="1"/>
        <w:rPr>
          <w:rFonts w:ascii="仿宋" w:hAnsi="仿宋" w:eastAsia="仿宋"/>
          <w:b/>
          <w:bCs/>
          <w:color w:val="000000"/>
          <w:kern w:val="0"/>
          <w:sz w:val="30"/>
          <w:szCs w:val="30"/>
          <w:u w:color="000000"/>
        </w:rPr>
      </w:pPr>
      <w:bookmarkStart w:id="120" w:name="_Toc143875243"/>
      <w:r>
        <w:rPr>
          <w:rFonts w:hint="eastAsia" w:ascii="仿宋" w:hAnsi="仿宋" w:eastAsia="仿宋"/>
          <w:b/>
          <w:bCs/>
          <w:color w:val="000000"/>
          <w:kern w:val="0"/>
          <w:sz w:val="30"/>
          <w:szCs w:val="30"/>
          <w:u w:color="000000"/>
        </w:rPr>
        <w:t>（二）基准地价成果应用范围与方向</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ind w:firstLine="560"/>
        <w:rPr>
          <w:rFonts w:ascii="仿宋" w:hAnsi="仿宋" w:eastAsia="仿宋" w:cs="仿宋"/>
          <w:szCs w:val="28"/>
        </w:rPr>
      </w:pPr>
      <w:r>
        <w:rPr>
          <w:rFonts w:hint="eastAsia" w:ascii="仿宋" w:hAnsi="仿宋" w:eastAsia="仿宋" w:cs="仿宋"/>
          <w:szCs w:val="28"/>
        </w:rPr>
        <w:t>基准地价作为反映一定区域内土地价值的量化指标，它是城镇人民政府制订各项土地管理政策、城镇规划政策、土地税收政策的重要依据。以基准地价为指导价，建立城镇土地资产的价格政策体系，有利于规范土地市场，量化土地资产价值。</w:t>
      </w:r>
    </w:p>
    <w:p>
      <w:pPr>
        <w:ind w:firstLine="562"/>
        <w:rPr>
          <w:rFonts w:ascii="仿宋" w:hAnsi="仿宋" w:eastAsia="仿宋" w:cs="仿宋"/>
          <w:b/>
          <w:bCs/>
          <w:szCs w:val="28"/>
        </w:rPr>
      </w:pPr>
      <w:r>
        <w:rPr>
          <w:rFonts w:hint="eastAsia" w:ascii="仿宋" w:hAnsi="仿宋" w:eastAsia="仿宋" w:cs="仿宋"/>
          <w:b/>
          <w:bCs/>
          <w:szCs w:val="28"/>
        </w:rPr>
        <w:t>1.运用基准地价成果，为科学合理确定土地收益和相关税费提供依据</w:t>
      </w:r>
    </w:p>
    <w:p>
      <w:pPr>
        <w:ind w:firstLine="560"/>
        <w:rPr>
          <w:rFonts w:ascii="仿宋" w:hAnsi="仿宋" w:eastAsia="仿宋" w:cs="仿宋"/>
          <w:szCs w:val="28"/>
        </w:rPr>
      </w:pPr>
      <w:r>
        <w:rPr>
          <w:rFonts w:hint="eastAsia" w:ascii="仿宋" w:hAnsi="仿宋" w:eastAsia="仿宋" w:cs="仿宋"/>
          <w:szCs w:val="28"/>
        </w:rPr>
        <w:t>(1)杭锦后旗头道桥镇本轮基准地价更新成果，为确定土地出让金提供依据。</w:t>
      </w:r>
    </w:p>
    <w:p>
      <w:pPr>
        <w:ind w:firstLine="560"/>
        <w:rPr>
          <w:rFonts w:ascii="仿宋" w:hAnsi="仿宋" w:eastAsia="仿宋" w:cs="仿宋"/>
          <w:szCs w:val="28"/>
        </w:rPr>
      </w:pPr>
      <w:r>
        <w:rPr>
          <w:rFonts w:hint="eastAsia" w:ascii="仿宋" w:hAnsi="仿宋" w:eastAsia="仿宋" w:cs="仿宋"/>
          <w:szCs w:val="28"/>
        </w:rPr>
        <w:t>土地使用权出让管理的重点是制订征收国有土地使用权出让金标准和加强出让金入库。在制订土地使用权出让管理政策时，我们建议应考虑以下几个方面：</w:t>
      </w:r>
    </w:p>
    <w:p>
      <w:pPr>
        <w:ind w:firstLine="560"/>
        <w:rPr>
          <w:rFonts w:ascii="仿宋" w:hAnsi="仿宋" w:eastAsia="仿宋" w:cs="仿宋"/>
          <w:szCs w:val="28"/>
        </w:rPr>
      </w:pPr>
      <w:r>
        <w:rPr>
          <w:rFonts w:hint="eastAsia" w:ascii="仿宋" w:hAnsi="仿宋" w:eastAsia="仿宋" w:cs="仿宋"/>
          <w:szCs w:val="28"/>
        </w:rPr>
        <w:t>①运用基准地价成果确定国有土地出让价格底价</w:t>
      </w:r>
    </w:p>
    <w:p>
      <w:pPr>
        <w:ind w:firstLine="560"/>
        <w:rPr>
          <w:rFonts w:ascii="仿宋" w:hAnsi="仿宋" w:eastAsia="仿宋" w:cs="仿宋"/>
          <w:szCs w:val="28"/>
        </w:rPr>
      </w:pPr>
      <w:r>
        <w:rPr>
          <w:rFonts w:hint="eastAsia" w:ascii="仿宋" w:hAnsi="仿宋" w:eastAsia="仿宋" w:cs="仿宋"/>
          <w:szCs w:val="28"/>
        </w:rPr>
        <w:t>土地使用权出让价格，其基础是确定出让底价。基准地价是反映土地经济条件的综合指标，它建立在城镇土地质量和级差收益的基础上。出让底价以基准地价为轴心上下浮动，土地出让底价不宜大幅度背离所在区域的基准地价。</w:t>
      </w:r>
      <w:r>
        <w:rPr>
          <w:rFonts w:hint="eastAsia" w:ascii="仿宋" w:hAnsi="仿宋" w:eastAsia="仿宋"/>
          <w:szCs w:val="28"/>
        </w:rPr>
        <w:t>根据中华人民共和国国土资源部第21号令《</w:t>
      </w:r>
      <w:r>
        <w:rPr>
          <w:rFonts w:ascii="仿宋" w:hAnsi="仿宋" w:eastAsia="仿宋"/>
          <w:szCs w:val="28"/>
        </w:rPr>
        <w:t>协议出让国有土地使用权规定</w:t>
      </w:r>
      <w:r>
        <w:rPr>
          <w:rFonts w:hint="eastAsia" w:ascii="仿宋" w:hAnsi="仿宋" w:eastAsia="仿宋"/>
          <w:szCs w:val="28"/>
        </w:rPr>
        <w:t>》，国有土地使用权的出让，其出让底价不得低于土地所在区域基准地价的70%。城市土地出让底价的确定应根据《中华人民共和国</w:t>
      </w:r>
      <w:r>
        <w:rPr>
          <w:rFonts w:hint="eastAsia" w:ascii="仿宋" w:hAnsi="仿宋" w:eastAsia="仿宋"/>
          <w:szCs w:val="28"/>
          <w:lang w:eastAsia="zh-CN"/>
        </w:rPr>
        <w:t>城市</w:t>
      </w:r>
      <w:r>
        <w:rPr>
          <w:rFonts w:hint="eastAsia" w:ascii="仿宋" w:hAnsi="仿宋" w:eastAsia="仿宋"/>
          <w:szCs w:val="28"/>
        </w:rPr>
        <w:t>房地产管理法》的有关规定，按照《城镇土地估价规程》，结合拟出让地块的用途、区位条件、规划条件等因素，通过评估并经政府自然资源行政主管部门领导集体讨论后确定。</w:t>
      </w:r>
    </w:p>
    <w:p>
      <w:pPr>
        <w:ind w:firstLine="560"/>
        <w:rPr>
          <w:rFonts w:ascii="仿宋" w:hAnsi="仿宋" w:eastAsia="仿宋" w:cs="仿宋"/>
          <w:szCs w:val="28"/>
        </w:rPr>
      </w:pPr>
      <w:r>
        <w:rPr>
          <w:rFonts w:hint="eastAsia" w:ascii="仿宋" w:hAnsi="仿宋" w:eastAsia="仿宋" w:cs="仿宋"/>
          <w:szCs w:val="28"/>
        </w:rPr>
        <w:t>②运用基准地价制订或调整城镇国有土地使用权出让金征收标准</w:t>
      </w:r>
    </w:p>
    <w:p>
      <w:pPr>
        <w:ind w:firstLine="560"/>
        <w:rPr>
          <w:rFonts w:ascii="仿宋" w:hAnsi="仿宋" w:eastAsia="仿宋" w:cs="仿宋"/>
          <w:szCs w:val="28"/>
        </w:rPr>
      </w:pPr>
      <w:r>
        <w:rPr>
          <w:rFonts w:hint="eastAsia" w:ascii="仿宋" w:hAnsi="仿宋" w:eastAsia="仿宋" w:cs="仿宋"/>
          <w:szCs w:val="28"/>
        </w:rPr>
        <w:t>一般认为，城镇土地增值主要由城镇建设及社会经济发展引起，城镇土地的国家所有权属性决定了国家直接参与土地增值分配的权利。通常情况下土地增值部分可由土地所有者与使用者共同分享，并按其贡献进行分成。</w:t>
      </w:r>
    </w:p>
    <w:p>
      <w:pPr>
        <w:ind w:firstLine="560"/>
        <w:rPr>
          <w:rFonts w:ascii="仿宋" w:hAnsi="仿宋" w:eastAsia="仿宋" w:cs="仿宋"/>
          <w:szCs w:val="28"/>
        </w:rPr>
      </w:pPr>
      <w:r>
        <w:rPr>
          <w:rFonts w:hint="eastAsia" w:ascii="仿宋" w:hAnsi="仿宋" w:eastAsia="仿宋" w:cs="仿宋"/>
          <w:szCs w:val="28"/>
        </w:rPr>
        <w:t>③土地用途发生变化，出让金拟作相应调整</w:t>
      </w:r>
    </w:p>
    <w:p>
      <w:pPr>
        <w:ind w:firstLine="560"/>
        <w:rPr>
          <w:rFonts w:ascii="仿宋" w:hAnsi="仿宋" w:eastAsia="仿宋" w:cs="仿宋"/>
          <w:szCs w:val="28"/>
        </w:rPr>
      </w:pPr>
      <w:r>
        <w:rPr>
          <w:rFonts w:hint="eastAsia" w:ascii="仿宋" w:hAnsi="仿宋" w:eastAsia="仿宋"/>
          <w:szCs w:val="28"/>
        </w:rPr>
        <w:t>城市土地受经济规律的作用，土地使用者总希望将其使用的国有土地在规划许可的前提下由低效益用途向高效益用途转化。我国现行土地政策对土地用途管理有相应的规定，总方针是实行土地用途管制制度。土地用途应按法定登记用途使用，若城市市区的土地确因城市规划调整由低效益用途向高效益用途，应对用途改变补交差额土地出让金。建议政府自然资源行政主管部门在制订用途改变补交差额出让金相关政策时，以拟变更用途征收出让金额减扣原用途已缴出让金额作为征收依据。而拟变更用途征收出让金额应以该地块用于新用途的评估价为计算依据。确定评估地价可采用基准地价系数修正法、剩余法、收益还原法、市场比较法等方法进行测算，其价格水平不得低于该区域政府最低限价，有基准地价的地方，不得低于基准地价的70%。</w:t>
      </w:r>
    </w:p>
    <w:p>
      <w:pPr>
        <w:ind w:firstLine="560"/>
        <w:rPr>
          <w:rFonts w:ascii="仿宋" w:hAnsi="仿宋" w:eastAsia="仿宋" w:cs="仿宋"/>
          <w:szCs w:val="28"/>
        </w:rPr>
      </w:pPr>
      <w:r>
        <w:rPr>
          <w:rFonts w:hint="eastAsia" w:ascii="仿宋" w:hAnsi="仿宋" w:eastAsia="仿宋" w:cs="仿宋"/>
          <w:szCs w:val="28"/>
        </w:rPr>
        <w:t>④土地利用强度改变，出让金拟作相应调整</w:t>
      </w:r>
    </w:p>
    <w:p>
      <w:pPr>
        <w:ind w:firstLine="560"/>
        <w:rPr>
          <w:rFonts w:ascii="仿宋" w:hAnsi="仿宋" w:eastAsia="仿宋" w:cs="仿宋"/>
          <w:szCs w:val="28"/>
        </w:rPr>
      </w:pPr>
      <w:r>
        <w:rPr>
          <w:rFonts w:hint="eastAsia" w:ascii="仿宋" w:hAnsi="仿宋" w:eastAsia="仿宋"/>
          <w:szCs w:val="28"/>
        </w:rPr>
        <w:t>土地价格的高低既受地块所在的区位条件制约，同时还受土地开发利用强度(建筑容积率)的影响。部分土地使用者为了局部利益，在取得出让土地后，不按地块控制规划指标开发，盲目扩大土地的利用强度(建筑容积率)，违背了规划对地块开发建设的要求。为保证规划的合法性和权威性，对已经办理了规划手续并签订土地出让合同的土地，土地使用者重新修改规划提高建筑容积率或违规扩大土地利用强度(建筑容积率)的情况，政府自然资源行政主管部门应制订相应政策，补征土地使用权出让金。建议在制订相关政策时，可通过对不同利用强度下的土地价格进行评估，以两种评估价格的差额作为确定补缴差额出让金的计算依据。</w:t>
      </w:r>
    </w:p>
    <w:p>
      <w:pPr>
        <w:ind w:firstLine="560"/>
        <w:rPr>
          <w:rFonts w:ascii="仿宋" w:hAnsi="仿宋" w:eastAsia="仿宋" w:cs="仿宋"/>
          <w:szCs w:val="28"/>
        </w:rPr>
      </w:pPr>
      <w:r>
        <w:rPr>
          <w:rFonts w:hint="eastAsia" w:ascii="仿宋" w:hAnsi="仿宋" w:eastAsia="仿宋" w:cs="仿宋"/>
          <w:szCs w:val="28"/>
        </w:rPr>
        <w:t>⑤土地出让金的征收标准应随土地出让年期的不同而有所差异</w:t>
      </w:r>
    </w:p>
    <w:p>
      <w:pPr>
        <w:ind w:firstLine="560"/>
        <w:rPr>
          <w:rFonts w:ascii="仿宋" w:hAnsi="仿宋" w:eastAsia="仿宋" w:cs="仿宋"/>
          <w:szCs w:val="28"/>
        </w:rPr>
      </w:pPr>
      <w:r>
        <w:rPr>
          <w:rFonts w:hint="eastAsia" w:ascii="仿宋" w:hAnsi="仿宋" w:eastAsia="仿宋" w:cs="仿宋"/>
          <w:szCs w:val="28"/>
        </w:rPr>
        <w:t>按照《中华人民共和国土地管理法》、《中华人民共和国</w:t>
      </w:r>
      <w:r>
        <w:rPr>
          <w:rFonts w:hint="eastAsia" w:ascii="仿宋" w:hAnsi="仿宋" w:eastAsia="仿宋" w:cs="仿宋"/>
          <w:szCs w:val="28"/>
          <w:lang w:eastAsia="zh-CN"/>
        </w:rPr>
        <w:t>城市</w:t>
      </w:r>
      <w:r>
        <w:rPr>
          <w:rFonts w:hint="eastAsia" w:ascii="仿宋" w:hAnsi="仿宋" w:eastAsia="仿宋" w:cs="仿宋"/>
          <w:szCs w:val="28"/>
        </w:rPr>
        <w:t>房地产管理法》的有关规定，国家对各类国有土地的使用权的有偿使用均规定有最高出让年。本轮基准地价更新成果中涉及的各类用地价格均是该类用途法定最高出让年限条件下的土地使用权价格，因此对未达法定最高出让年限的出让国有土地，应明确土地使用年期差异的影响，对拟出让地块的价格结合土地剩余使用年限、土地区位条件、规划条件等因素进行评估，以评估结果作为确定征收出让金的依据。</w:t>
      </w:r>
    </w:p>
    <w:p>
      <w:pPr>
        <w:spacing w:line="520" w:lineRule="exact"/>
        <w:ind w:firstLine="560"/>
        <w:rPr>
          <w:rFonts w:ascii="仿宋" w:hAnsi="仿宋" w:eastAsia="仿宋"/>
          <w:szCs w:val="28"/>
        </w:rPr>
      </w:pPr>
      <w:r>
        <w:rPr>
          <w:rFonts w:hint="eastAsia" w:ascii="仿宋" w:hAnsi="仿宋" w:eastAsia="仿宋"/>
          <w:szCs w:val="28"/>
        </w:rPr>
        <w:t>(2)运用基准地价成果，制订租赁国有土地使用权的标准</w:t>
      </w:r>
    </w:p>
    <w:p>
      <w:pPr>
        <w:ind w:firstLine="560"/>
        <w:rPr>
          <w:rFonts w:ascii="仿宋" w:hAnsi="仿宋" w:eastAsia="仿宋" w:cs="仿宋"/>
          <w:szCs w:val="28"/>
        </w:rPr>
      </w:pPr>
      <w:r>
        <w:rPr>
          <w:rFonts w:hint="eastAsia" w:ascii="仿宋" w:hAnsi="仿宋" w:eastAsia="仿宋"/>
          <w:szCs w:val="28"/>
        </w:rPr>
        <w:t>本文所称租赁土地使用权，是指国家以土地所有者的身份将土地使用权出租给土地使用者，由土地使用者向国家缴纳土地使用权租金(地租)的行为。因此租赁土地使用权实为地租，意指报酬或者收益。由于土地的自然条件不同和土地所在区位的差异，使得土地使用者因使用不同的土地而获得不同的收益。这种收益因土地所有权的存在而转化为地租。地租是土地所有者凭借土地所有权而得到的收益，是土地所有权借以实现的经济形式，即土地所有者从土地上获得收益的权利，因此土地收益与地租在数量上具有一致性，只不过因土地所有权和使用权的分离，对土地使用者而言，称为土地收益，对土地所有者而言，称之为地租。土地价格是土地经济价值的反映，是为购买土地预期收益的权利而支付的代价，即地租的资本化。因此在地价已知的条件下，地租应等于地价与土地还原率的乘积。确定地租时，除考虑土地区位条件外，还应考虑土地使用年期的影响。</w:t>
      </w:r>
    </w:p>
    <w:p>
      <w:pPr>
        <w:ind w:firstLine="560"/>
        <w:rPr>
          <w:rFonts w:ascii="仿宋" w:hAnsi="仿宋" w:eastAsia="仿宋" w:cs="仿宋"/>
          <w:szCs w:val="28"/>
        </w:rPr>
      </w:pPr>
      <w:r>
        <w:rPr>
          <w:rFonts w:hint="eastAsia" w:ascii="仿宋" w:hAnsi="仿宋" w:eastAsia="仿宋" w:cs="仿宋"/>
          <w:szCs w:val="28"/>
        </w:rPr>
        <w:t xml:space="preserve"> (</w:t>
      </w:r>
      <w:r>
        <w:rPr>
          <w:rFonts w:ascii="仿宋" w:hAnsi="仿宋" w:eastAsia="仿宋" w:cs="仿宋"/>
          <w:szCs w:val="28"/>
        </w:rPr>
        <w:t>3</w:t>
      </w:r>
      <w:r>
        <w:rPr>
          <w:rFonts w:hint="eastAsia" w:ascii="仿宋" w:hAnsi="仿宋" w:eastAsia="仿宋" w:cs="仿宋"/>
          <w:szCs w:val="28"/>
        </w:rPr>
        <w:t>)运用基准地价成果，确定房地产征收税费标准，调控房地产市场</w:t>
      </w:r>
    </w:p>
    <w:p>
      <w:pPr>
        <w:ind w:firstLine="560"/>
        <w:rPr>
          <w:rFonts w:ascii="仿宋" w:hAnsi="仿宋" w:eastAsia="仿宋" w:cs="仿宋"/>
          <w:szCs w:val="28"/>
        </w:rPr>
      </w:pPr>
      <w:r>
        <w:rPr>
          <w:rFonts w:hint="eastAsia" w:ascii="仿宋" w:hAnsi="仿宋" w:eastAsia="仿宋" w:cs="仿宋"/>
          <w:szCs w:val="28"/>
        </w:rPr>
        <w:t>建议政府相关部门根据国家宏观调控的总体安排，结合本次基准地价更新成果，建立房地产征税额与土地利用质量相衔接，与各级别、各区域、各类用地的实际收益水平相匹配的税收征管体系。同时对土地转让、出租等地产交易活动，以评估地价或成交地价为依据，以基准地价为参考，确定合理的交易契税，利用税收调节土地利用级差收益、抑制土地炒卖以及国有土地收益的流失。</w:t>
      </w:r>
    </w:p>
    <w:p>
      <w:pPr>
        <w:ind w:firstLine="562"/>
        <w:rPr>
          <w:rFonts w:ascii="仿宋" w:hAnsi="仿宋" w:eastAsia="仿宋" w:cs="仿宋"/>
          <w:b/>
          <w:bCs/>
          <w:szCs w:val="28"/>
        </w:rPr>
      </w:pPr>
      <w:r>
        <w:rPr>
          <w:rFonts w:hint="eastAsia" w:ascii="仿宋" w:hAnsi="仿宋" w:eastAsia="仿宋" w:cs="仿宋"/>
          <w:b/>
          <w:bCs/>
          <w:szCs w:val="28"/>
        </w:rPr>
        <w:t>2.运用基准地价成果，制订行之有效的地价管理政策，保证国有土地资产的保值与增值</w:t>
      </w:r>
    </w:p>
    <w:p>
      <w:pPr>
        <w:ind w:firstLine="560"/>
        <w:rPr>
          <w:rFonts w:ascii="仿宋" w:hAnsi="仿宋" w:eastAsia="仿宋" w:cs="仿宋"/>
          <w:szCs w:val="28"/>
        </w:rPr>
      </w:pPr>
      <w:r>
        <w:rPr>
          <w:rFonts w:hint="eastAsia" w:ascii="仿宋" w:hAnsi="仿宋" w:eastAsia="仿宋" w:cs="仿宋"/>
          <w:szCs w:val="28"/>
        </w:rPr>
        <w:t>(1)建立、健全地价体系，完善地籍管理制度，为各部门和土地使用者、经营者服务。</w:t>
      </w:r>
    </w:p>
    <w:p>
      <w:pPr>
        <w:ind w:firstLine="560"/>
        <w:rPr>
          <w:rFonts w:ascii="仿宋" w:hAnsi="仿宋" w:eastAsia="仿宋" w:cs="仿宋"/>
          <w:szCs w:val="28"/>
        </w:rPr>
      </w:pPr>
      <w:r>
        <w:rPr>
          <w:rFonts w:hint="eastAsia" w:ascii="仿宋" w:hAnsi="仿宋" w:eastAsia="仿宋" w:cs="仿宋"/>
          <w:szCs w:val="28"/>
        </w:rPr>
        <w:t>本轮基准地价更新成果为土地行政管理部门和土地使用者、经营者提供了头道桥镇内各区域、各用途的基准地价，同时为土地市场管理提供了简便易行的宗地地价评估标准，为建立“宏观管理、微观搞活”的地价体系奠定了基础。</w:t>
      </w:r>
      <w:r>
        <w:rPr>
          <w:rFonts w:hint="eastAsia" w:ascii="仿宋" w:hAnsi="仿宋" w:eastAsia="仿宋"/>
          <w:szCs w:val="28"/>
        </w:rPr>
        <w:t>为了更有效地运用更新后的基准地价成果，充分发挥基准地价指导作用，建议自然资源行政主管部门在地价管理方面适时建立以基准地价为指导、标定地价为基础、涵盖国有土地使用权出让价格、收购价格、收回土地价格、租赁价格、课税价格、作价入股价格以及土地转让、出租、抵押等交易价格的地价管理体系。加强地价动态监测系统及地价与面积、用途与权属等地籍信息系统的建设和维护，适时公布地价指数，将地价作为一种地籍信息反映在土地登记的图、表、卡、册、证等资料中，以便客观真实地反映土地质量和使用价值。同时，通过基准地价、标定地价及地价指数的定期公告，使各部门、土地使用者、经营者能及时地了解地价高低和分布状况，为土地管理、利用、经营提供基础数据。</w:t>
      </w:r>
    </w:p>
    <w:p>
      <w:pPr>
        <w:ind w:firstLine="560"/>
        <w:rPr>
          <w:rFonts w:ascii="仿宋" w:hAnsi="仿宋" w:eastAsia="仿宋" w:cs="仿宋"/>
          <w:szCs w:val="28"/>
        </w:rPr>
      </w:pPr>
      <w:r>
        <w:rPr>
          <w:rFonts w:hint="eastAsia" w:ascii="仿宋" w:hAnsi="仿宋" w:eastAsia="仿宋" w:cs="仿宋"/>
          <w:szCs w:val="28"/>
        </w:rPr>
        <w:t>(2)充分发挥政府的控制和导向作用，合理引导投资方向和土地利用方式。</w:t>
      </w:r>
    </w:p>
    <w:p>
      <w:pPr>
        <w:ind w:firstLine="560"/>
        <w:rPr>
          <w:rFonts w:ascii="仿宋" w:hAnsi="仿宋" w:eastAsia="仿宋"/>
          <w:szCs w:val="28"/>
        </w:rPr>
      </w:pPr>
      <w:r>
        <w:rPr>
          <w:rFonts w:hint="eastAsia" w:ascii="仿宋" w:hAnsi="仿宋" w:eastAsia="仿宋" w:cs="仿宋"/>
          <w:szCs w:val="28"/>
        </w:rPr>
        <w:t>土地级别与基准地价反映了城镇内部土地质量和利用效益的差异，可为城镇规划、土地利用总体规划、供地计划等的制订提供依据，进而达到合理配置城镇土地，最大限度地发挥土地的经济、社会、环境综合效益。城镇规划部门可结合土地定级与基准地价成果，科学安排城镇用地结构，减少不合理用地现象。</w:t>
      </w:r>
      <w:r>
        <w:rPr>
          <w:rFonts w:ascii="仿宋" w:hAnsi="仿宋" w:eastAsia="仿宋"/>
          <w:szCs w:val="28"/>
        </w:rPr>
        <w:t>此外，</w:t>
      </w:r>
      <w:r>
        <w:rPr>
          <w:rFonts w:hint="eastAsia" w:ascii="仿宋" w:hAnsi="仿宋" w:eastAsia="仿宋"/>
          <w:szCs w:val="28"/>
        </w:rPr>
        <w:t>运用土地</w:t>
      </w:r>
      <w:r>
        <w:rPr>
          <w:rFonts w:ascii="仿宋" w:hAnsi="仿宋" w:eastAsia="仿宋"/>
          <w:szCs w:val="28"/>
        </w:rPr>
        <w:t>级别</w:t>
      </w:r>
      <w:r>
        <w:rPr>
          <w:rFonts w:hint="eastAsia" w:ascii="仿宋" w:hAnsi="仿宋" w:eastAsia="仿宋"/>
          <w:szCs w:val="28"/>
        </w:rPr>
        <w:t>及基准地价</w:t>
      </w:r>
      <w:r>
        <w:rPr>
          <w:rFonts w:ascii="仿宋" w:hAnsi="仿宋" w:eastAsia="仿宋"/>
          <w:szCs w:val="28"/>
        </w:rPr>
        <w:t>成果</w:t>
      </w:r>
      <w:r>
        <w:rPr>
          <w:rFonts w:hint="eastAsia" w:ascii="仿宋" w:hAnsi="仿宋" w:eastAsia="仿宋"/>
          <w:szCs w:val="28"/>
        </w:rPr>
        <w:t>，</w:t>
      </w:r>
      <w:r>
        <w:rPr>
          <w:rFonts w:ascii="仿宋" w:hAnsi="仿宋" w:eastAsia="仿宋"/>
          <w:szCs w:val="28"/>
        </w:rPr>
        <w:t>可为新增建设用地有偿使用费征收</w:t>
      </w:r>
      <w:r>
        <w:rPr>
          <w:rFonts w:hint="eastAsia" w:ascii="仿宋" w:hAnsi="仿宋" w:eastAsia="仿宋"/>
          <w:szCs w:val="28"/>
        </w:rPr>
        <w:t>、</w:t>
      </w:r>
      <w:r>
        <w:rPr>
          <w:rFonts w:ascii="仿宋" w:hAnsi="仿宋" w:eastAsia="仿宋"/>
          <w:szCs w:val="28"/>
        </w:rPr>
        <w:t>土地使用税</w:t>
      </w:r>
      <w:r>
        <w:rPr>
          <w:rFonts w:hint="eastAsia" w:ascii="仿宋" w:hAnsi="仿宋" w:eastAsia="仿宋"/>
          <w:szCs w:val="28"/>
        </w:rPr>
        <w:t>及</w:t>
      </w:r>
      <w:r>
        <w:rPr>
          <w:rFonts w:ascii="仿宋" w:hAnsi="仿宋" w:eastAsia="仿宋"/>
          <w:szCs w:val="28"/>
        </w:rPr>
        <w:t>企业清产核资和改制中土地资产量的确定等工作提供重要依据。</w:t>
      </w:r>
    </w:p>
    <w:p>
      <w:pPr>
        <w:ind w:firstLine="560"/>
        <w:rPr>
          <w:rFonts w:ascii="仿宋" w:hAnsi="仿宋" w:eastAsia="仿宋" w:cs="仿宋"/>
          <w:szCs w:val="28"/>
        </w:rPr>
      </w:pPr>
      <w:r>
        <w:rPr>
          <w:rFonts w:hint="eastAsia" w:ascii="仿宋" w:hAnsi="仿宋" w:eastAsia="仿宋"/>
          <w:szCs w:val="28"/>
        </w:rPr>
        <w:t>通过定期评估并公布基准地价，制订合理的地价管理政策，既可宏观把握城市总体价格水平，根据城市社会经济发展水平，制订科学、合理的地价管理政策，又可使土地使用者和投资者根据基准地价，了解城市各区域不同用途的地价水平和利用价值，选择投资方向、地点及土地利用方式，此外还有利于增强政府在土地管理政策方面的透明度，改善投资环境，充分发挥地价对城市社会经济发展的导向作用，合理引导投资者的投资方向和利用方式，充分挖掘土地利用潜力。</w:t>
      </w:r>
      <w:r>
        <w:rPr>
          <w:rFonts w:hint="eastAsia" w:ascii="仿宋" w:hAnsi="仿宋" w:eastAsia="仿宋" w:cs="仿宋"/>
          <w:szCs w:val="28"/>
        </w:rPr>
        <w:t>因此，土地定级与基准地价是我国地价体系建设的基础性工作，是政府调控土地市场和服务于社会经济活动的重要工具。</w:t>
      </w:r>
    </w:p>
    <w:p>
      <w:pPr>
        <w:ind w:firstLine="560"/>
        <w:rPr>
          <w:rFonts w:ascii="仿宋" w:hAnsi="仿宋" w:eastAsia="仿宋" w:cs="仿宋"/>
          <w:szCs w:val="28"/>
        </w:rPr>
      </w:pPr>
      <w:r>
        <w:rPr>
          <w:rFonts w:hint="eastAsia" w:ascii="仿宋" w:hAnsi="仿宋" w:eastAsia="仿宋" w:cs="仿宋"/>
          <w:szCs w:val="28"/>
        </w:rPr>
        <w:t>(3)为政府土地招标、拍卖、挂牌与收购储备提供价格依据。</w:t>
      </w:r>
    </w:p>
    <w:p>
      <w:pPr>
        <w:ind w:firstLine="560"/>
        <w:rPr>
          <w:rFonts w:ascii="仿宋" w:hAnsi="仿宋" w:eastAsia="仿宋" w:cs="仿宋"/>
          <w:szCs w:val="28"/>
        </w:rPr>
      </w:pPr>
      <w:r>
        <w:rPr>
          <w:rFonts w:hint="eastAsia" w:ascii="仿宋" w:hAnsi="仿宋" w:eastAsia="仿宋" w:cs="仿宋"/>
          <w:szCs w:val="28"/>
        </w:rPr>
        <w:t>①运用基准地价成果，科学、合理地确定土地招标、拍卖及挂牌底价。</w:t>
      </w:r>
    </w:p>
    <w:p>
      <w:pPr>
        <w:ind w:firstLine="560"/>
        <w:rPr>
          <w:rFonts w:ascii="仿宋" w:hAnsi="仿宋" w:eastAsia="仿宋" w:cs="仿宋"/>
          <w:szCs w:val="28"/>
        </w:rPr>
      </w:pPr>
      <w:r>
        <w:rPr>
          <w:rFonts w:hint="eastAsia" w:ascii="仿宋" w:hAnsi="仿宋" w:eastAsia="仿宋" w:cs="仿宋"/>
          <w:szCs w:val="28"/>
        </w:rPr>
        <w:t>国土资源部第39号令《招标拍卖挂牌出让国有建设用地使用权规定》明确规定，商业、旅游、娱乐和商品住宅等经营性用地以及同一宗地有两个以上意向用地者，应当以招标、拍卖、或者挂牌方式出让，且招标、拍卖、或者挂牌方式的出让底价不得低于基准地价的7</w:t>
      </w:r>
      <w:r>
        <w:rPr>
          <w:rFonts w:ascii="仿宋" w:hAnsi="仿宋" w:eastAsia="仿宋" w:cs="仿宋"/>
          <w:szCs w:val="28"/>
        </w:rPr>
        <w:t>0</w:t>
      </w:r>
      <w:r>
        <w:rPr>
          <w:rFonts w:hint="eastAsia" w:ascii="仿宋" w:hAnsi="仿宋" w:eastAsia="仿宋" w:cs="仿宋"/>
          <w:szCs w:val="28"/>
        </w:rPr>
        <w:t>%。</w:t>
      </w:r>
    </w:p>
    <w:p>
      <w:pPr>
        <w:ind w:left="560" w:firstLine="0" w:firstLineChars="0"/>
        <w:rPr>
          <w:rFonts w:ascii="仿宋" w:hAnsi="仿宋" w:eastAsia="仿宋" w:cs="仿宋"/>
          <w:szCs w:val="28"/>
        </w:rPr>
      </w:pPr>
      <w:r>
        <w:rPr>
          <w:rFonts w:hint="eastAsia" w:ascii="仿宋" w:hAnsi="仿宋" w:eastAsia="仿宋" w:cs="仿宋"/>
          <w:szCs w:val="28"/>
        </w:rPr>
        <w:t>②工业用地出让最低价与基准地价关系</w:t>
      </w:r>
    </w:p>
    <w:p>
      <w:pPr>
        <w:ind w:firstLine="560"/>
        <w:rPr>
          <w:rFonts w:ascii="仿宋" w:hAnsi="仿宋" w:eastAsia="仿宋" w:cs="仿宋"/>
          <w:szCs w:val="28"/>
        </w:rPr>
      </w:pPr>
      <w:r>
        <w:rPr>
          <w:rFonts w:hint="eastAsia" w:ascii="仿宋" w:hAnsi="仿宋" w:eastAsia="仿宋" w:cs="仿宋"/>
          <w:szCs w:val="28"/>
        </w:rPr>
        <w:t>工业用地出让最低价标准不得低于土地取得成本、土地前期开发成本和按规定收取的相关费用之和。工业用地基准地价反映了不同区域工业用地的市场平均价格水平，是出让工业用地时确定出让价格的重要参照依据，工业用地出让价格不得低于公布的最低价标准。本次头道桥镇工业用地末级地基准地价为</w:t>
      </w:r>
      <w:r>
        <w:rPr>
          <w:rFonts w:ascii="仿宋" w:hAnsi="仿宋" w:eastAsia="仿宋" w:cs="仿宋"/>
          <w:szCs w:val="28"/>
        </w:rPr>
        <w:t>85</w:t>
      </w:r>
      <w:r>
        <w:rPr>
          <w:rFonts w:hint="eastAsia" w:ascii="仿宋" w:hAnsi="仿宋" w:eastAsia="仿宋" w:cs="仿宋"/>
          <w:szCs w:val="28"/>
        </w:rPr>
        <w:t>元/平方米，不低于杭锦后旗工业用地最低限价6</w:t>
      </w:r>
      <w:r>
        <w:rPr>
          <w:rFonts w:ascii="仿宋" w:hAnsi="仿宋" w:eastAsia="仿宋" w:cs="仿宋"/>
          <w:szCs w:val="28"/>
        </w:rPr>
        <w:t>0</w:t>
      </w:r>
      <w:r>
        <w:rPr>
          <w:rFonts w:hint="eastAsia" w:ascii="仿宋" w:hAnsi="仿宋" w:eastAsia="仿宋" w:cs="仿宋"/>
          <w:szCs w:val="28"/>
        </w:rPr>
        <w:t>元/平方米。</w:t>
      </w:r>
    </w:p>
    <w:p>
      <w:pPr>
        <w:ind w:firstLine="560"/>
        <w:rPr>
          <w:rFonts w:ascii="仿宋" w:hAnsi="仿宋" w:eastAsia="仿宋" w:cs="仿宋"/>
          <w:szCs w:val="28"/>
        </w:rPr>
      </w:pPr>
      <w:r>
        <w:rPr>
          <w:rFonts w:hint="eastAsia" w:ascii="仿宋" w:hAnsi="仿宋" w:eastAsia="仿宋" w:cs="仿宋"/>
          <w:szCs w:val="28"/>
        </w:rPr>
        <w:t>③运用基准地价成果，为制订土地收购储备政策服务</w:t>
      </w:r>
    </w:p>
    <w:p>
      <w:pPr>
        <w:ind w:firstLine="560"/>
        <w:rPr>
          <w:rFonts w:ascii="仿宋" w:hAnsi="仿宋" w:eastAsia="仿宋" w:cs="仿宋"/>
          <w:szCs w:val="28"/>
        </w:rPr>
      </w:pPr>
      <w:r>
        <w:rPr>
          <w:rFonts w:hint="eastAsia" w:ascii="仿宋" w:hAnsi="仿宋" w:eastAsia="仿宋" w:cs="仿宋"/>
          <w:szCs w:val="28"/>
        </w:rPr>
        <w:t>土地储备制度是政府依照法定程序，运用市场机制，按照土地利用总体规划，对通过收回、收购、置换和征用等方式取得的土地纳入储备，并进行前期开发变为净地，以招标、拍卖、挂牌等方式对储备土地使用权进行出让，以供应和调控城镇各类建设用地需求的一种经营管理制度。制订土地招标、拍卖、挂牌出让土地政策和土地收购储备政策，是实现国有土地资产保值增值的重要步骤。</w:t>
      </w:r>
    </w:p>
    <w:p>
      <w:pPr>
        <w:ind w:firstLine="560"/>
        <w:rPr>
          <w:rFonts w:ascii="仿宋" w:hAnsi="仿宋" w:eastAsia="仿宋" w:cs="仿宋"/>
          <w:szCs w:val="28"/>
        </w:rPr>
      </w:pPr>
      <w:r>
        <w:rPr>
          <w:rFonts w:hint="eastAsia" w:ascii="仿宋" w:hAnsi="仿宋" w:eastAsia="仿宋" w:cs="仿宋"/>
          <w:szCs w:val="28"/>
        </w:rPr>
        <w:t>(4)在企业资产抵押、清产核资、股份制改造等经济活动中，核定企事业单位占有使用的土地资产量。</w:t>
      </w:r>
    </w:p>
    <w:p>
      <w:pPr>
        <w:ind w:firstLine="560"/>
        <w:rPr>
          <w:rFonts w:ascii="仿宋" w:hAnsi="仿宋" w:eastAsia="仿宋" w:cs="仿宋"/>
          <w:szCs w:val="28"/>
        </w:rPr>
      </w:pPr>
      <w:r>
        <w:rPr>
          <w:rFonts w:hint="eastAsia" w:ascii="仿宋" w:hAnsi="仿宋" w:eastAsia="仿宋" w:cs="仿宋"/>
          <w:szCs w:val="28"/>
        </w:rPr>
        <w:t>企业经营活动中，土地资产抵押、清产核资、股份制改造等经济活动都要求明确其占有或使用的土地资产量，基准地价成果提供了企业土地所在区域的总体价格水平。</w:t>
      </w:r>
      <w:r>
        <w:rPr>
          <w:rFonts w:hint="eastAsia" w:ascii="仿宋" w:hAnsi="仿宋" w:eastAsia="仿宋"/>
          <w:szCs w:val="28"/>
        </w:rPr>
        <w:t>土地估价机构运用企业土地所在区域的基准地价，结合地块的区位条件，通过系数进行修正，可快速有效地测算出企业占有或使用的土地资产量。同时，自然资源行政主管部门在土地抵押价格备案及企业改制、清产核资等经济活动中处置国有土地资产时，运用拟处置土地所在区域该用途的基准地价作为参照标准，对企业拟备案的土地价格或拟处置的土地资产量进行比较，判断土地评估价格是否正常、客观，可有效防止国有资产流失。</w:t>
      </w:r>
    </w:p>
    <w:p>
      <w:pPr>
        <w:ind w:firstLine="560"/>
        <w:rPr>
          <w:rFonts w:ascii="仿宋" w:hAnsi="仿宋" w:eastAsia="仿宋" w:cs="仿宋"/>
          <w:szCs w:val="28"/>
        </w:rPr>
      </w:pPr>
      <w:r>
        <w:rPr>
          <w:rFonts w:hint="eastAsia" w:ascii="仿宋" w:hAnsi="仿宋" w:eastAsia="仿宋" w:cs="仿宋"/>
          <w:szCs w:val="28"/>
        </w:rPr>
        <w:t>(5)为城镇规划建设服务</w:t>
      </w:r>
    </w:p>
    <w:p>
      <w:pPr>
        <w:ind w:firstLine="560"/>
        <w:rPr>
          <w:rFonts w:ascii="仿宋" w:hAnsi="仿宋" w:eastAsia="仿宋" w:cs="仿宋"/>
          <w:szCs w:val="28"/>
        </w:rPr>
      </w:pPr>
      <w:r>
        <w:rPr>
          <w:rFonts w:hint="eastAsia" w:ascii="仿宋" w:hAnsi="仿宋" w:eastAsia="仿宋" w:cs="仿宋"/>
          <w:szCs w:val="28"/>
        </w:rPr>
        <w:t>城镇规划的核心是搞好城镇布局，合理利用土地。城镇基准地价成果是对城镇布局、合理用地的经济反映，它对城镇规划有引导作用。</w:t>
      </w:r>
    </w:p>
    <w:p>
      <w:pPr>
        <w:ind w:firstLine="560"/>
        <w:rPr>
          <w:rFonts w:ascii="仿宋" w:hAnsi="仿宋" w:eastAsia="仿宋" w:cs="仿宋"/>
          <w:szCs w:val="28"/>
        </w:rPr>
      </w:pPr>
      <w:r>
        <w:rPr>
          <w:rFonts w:hint="eastAsia" w:ascii="仿宋" w:hAnsi="仿宋" w:eastAsia="仿宋" w:cs="仿宋"/>
          <w:szCs w:val="28"/>
        </w:rPr>
        <w:t>我国实行土地用途管制制度，城镇用地规划必须做到统筹兼顾，合理安排，把各类项目落实到具体要求地块上，力争在总体上取得到最佳效益。</w:t>
      </w:r>
    </w:p>
    <w:p>
      <w:pPr>
        <w:snapToGrid w:val="0"/>
        <w:ind w:firstLine="560"/>
        <w:jc w:val="both"/>
        <w:rPr>
          <w:rFonts w:ascii="仿宋" w:hAnsi="仿宋" w:eastAsia="仿宋" w:cs="仿宋"/>
          <w:szCs w:val="28"/>
        </w:rPr>
      </w:pPr>
      <w:r>
        <w:rPr>
          <w:rFonts w:hint="eastAsia" w:ascii="仿宋" w:hAnsi="仿宋" w:eastAsia="仿宋"/>
          <w:szCs w:val="28"/>
        </w:rPr>
        <w:t>本轮基准地价更新成果，不仅考虑了头道桥镇建成区土地的质量条件，还考虑了规划新区的规划条件，是对城区规划布局的综合反映。因此政府在安排各类建设项目用地时，应按照城市总体规划、土地利用总体规划，结合城市各区域的土地定级与基准地价，确定土地的最佳用途、最佳开发强度与开发的先后顺序，充分发挥土地的潜在效益。</w:t>
      </w:r>
    </w:p>
    <w:sectPr>
      <w:pgSz w:w="11907" w:h="16840"/>
      <w:pgMar w:top="1418" w:right="1440" w:bottom="1701"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7NLPvAQAAwg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8+iOp3z&#10;ORfdOy4L/RvsCxloF1lB7t0dqq9eWLypwW71NRF2tYaSCaYivp9dAAxoPkJtuvdYcjPYBUxYfUVt&#10;xGRJBPfgtzqc30f3QSgOzhbzxWLKKcW50Yk9IB+vO/LhrcZWRKOQxAuQ4GF/58NQOpbEbhbXpmk4&#10;Dnlj/wowZowk+pHxwD30m56r40wbLA88COGwU/wH2KiRvknR8T4V0vLCS9G8s6xGXL3RoNHYjAZY&#10;xRdZMykG8yawV0HjGWDnyGxrxr6Q/ZpVW5s0zyOVE1lelKTIaanjJl76qerx660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wezSz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vert="horz" wrap="none" lIns="0" tIns="0" rIns="0" bIns="0" anchor="t" anchorCtr="false" upright="true">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HpocnvAQAAwgMAAA4AAABkcnMv&#10;ZTJvRG9jLnhtbK1TS47bMAzdF+gdBO0bJ1kUgRFnMJ1BigLTDzDtARhZjoXaokApsdMDtDfoqpvu&#10;e66cYyg5zqQzu6IbgSKpx8dHannVt43Ya/IGbSFnk6kU2iosjd0W8svn9auFFD6ALaFBqwt50F5e&#10;rV6+WHYu13OssSk1CQaxPu9cIesQXJ5lXtW6BT9Bpy0HK6QWAl9pm5UEHaO3TTafTl9nHVLpCJX2&#10;nr23Q1CuEn5VaRU+VpXXQTSFZG4hnZTOTTyz1RLyLYGrjTrRgH9g0YKxXPQMdQsBxI7MM6jWKEKP&#10;VZgobDOsKqN06oG7mU2fdHNfg9OpFxbHu7NM/v/Bqg/7TyRMybOTwkLLIzr+/HH89ef4+/s8qtM5&#10;n3PSveO00L/BvpCBdpEV5N7dofrqhcWbGuxWXxNhV2somWBK4vfZBcCA5iPUpnuPJReDXcCE1VfU&#10;RkyWRHANntXhPB/dB6HYOVvMF4sphxTHxkusAfn43JEPbzW2IhqFJF6ABA/7Ox+G1DElVrO4Nk3D&#10;fsgb+5eDMaMn0Y+MB+6h3/ScHXvaYHngRgiHneI/wEaN9E2KjvepkJYXXormnWU14uqNBo3GZjTA&#10;Kn7ImkkxmDeBbxU0ngF2jsy2ZuwL2a9ZtbVJ/TxSOZHlRUmKnJY6buLlPWU9f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BR6aHJ7wEAAMIDAAAOAAAAAAAAAAEAIAAAADQBAABkcnMvZTJv&#10;RG9jLnhtbFBLBQYAAAAABgAGAFkBAACVBQAAAAA=&#10;">
              <v:fill on="f" focussize="0,0"/>
              <v:stroke on="f"/>
              <v:imagedata o:title=""/>
              <o:lock v:ext="edit" aspectratio="f"/>
              <v:textbox inset="0mm,0mm,0mm,0mm" style="mso-fit-shape-to-text:t;">
                <w:txbxContent>
                  <w:p>
                    <w:pPr>
                      <w:snapToGrid w:val="0"/>
                      <w:ind w:firstLine="36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enter" w:pos="4153"/>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pPr>
    <w:r>
      <w:rPr>
        <w:rFonts w:hint="eastAsia" w:ascii="华文仿宋" w:hAnsi="华文仿宋" w:eastAsia="华文仿宋" w:cs="华文仿宋"/>
        <w:sz w:val="21"/>
        <w:szCs w:val="21"/>
      </w:rPr>
      <w:t>杭锦后旗头道桥镇土地定级与基准地价更新成果报告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4" w:space="0"/>
      </w:pBdr>
      <w:tabs>
        <w:tab w:val="center" w:pos="4153"/>
      </w:tabs>
      <w:ind w:firstLine="0" w:firstLineChars="0"/>
    </w:pPr>
    <w:r>
      <w:rPr>
        <w:rFonts w:hint="eastAsia" w:ascii="华文仿宋" w:hAnsi="华文仿宋" w:eastAsia="华文仿宋" w:cs="华文仿宋"/>
        <w:sz w:val="21"/>
        <w:szCs w:val="21"/>
      </w:rPr>
      <w:t>杭锦后旗头道桥镇土地定级与基准地价更新成果报告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D57BB"/>
    <w:multiLevelType w:val="multilevel"/>
    <w:tmpl w:val="68CD57BB"/>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72A90D11"/>
    <w:multiLevelType w:val="multilevel"/>
    <w:tmpl w:val="72A90D11"/>
    <w:lvl w:ilvl="0" w:tentative="0">
      <w:start w:val="1"/>
      <w:numFmt w:val="decimal"/>
      <w:lvlText w:val="%1"/>
      <w:lvlJc w:val="left"/>
      <w:pPr>
        <w:ind w:left="425" w:hanging="425"/>
      </w:pPr>
      <w:rPr>
        <w:rFonts w:hint="eastAsia"/>
      </w:rPr>
    </w:lvl>
    <w:lvl w:ilvl="1" w:tentative="0">
      <w:start w:val="1"/>
      <w:numFmt w:val="decimal"/>
      <w:pStyle w:val="82"/>
      <w:lvlText w:val="%1.%2"/>
      <w:lvlJc w:val="left"/>
      <w:pPr>
        <w:ind w:left="567" w:hanging="567"/>
      </w:pPr>
      <w:rPr>
        <w:rFonts w:hint="eastAsia"/>
      </w:rPr>
    </w:lvl>
    <w:lvl w:ilvl="2" w:tentative="0">
      <w:start w:val="1"/>
      <w:numFmt w:val="decimal"/>
      <w:pStyle w:val="7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F43"/>
    <w:rsid w:val="00022526"/>
    <w:rsid w:val="00031EAD"/>
    <w:rsid w:val="00042AF1"/>
    <w:rsid w:val="00046694"/>
    <w:rsid w:val="00082CA0"/>
    <w:rsid w:val="000C7C85"/>
    <w:rsid w:val="000D0E52"/>
    <w:rsid w:val="00110E44"/>
    <w:rsid w:val="001170CB"/>
    <w:rsid w:val="00153D56"/>
    <w:rsid w:val="00170751"/>
    <w:rsid w:val="00172A27"/>
    <w:rsid w:val="00191F9B"/>
    <w:rsid w:val="0019260C"/>
    <w:rsid w:val="00193C25"/>
    <w:rsid w:val="001A0B81"/>
    <w:rsid w:val="001A1BF7"/>
    <w:rsid w:val="001A5A3D"/>
    <w:rsid w:val="001B07E3"/>
    <w:rsid w:val="001C79E5"/>
    <w:rsid w:val="001D23EF"/>
    <w:rsid w:val="001D3692"/>
    <w:rsid w:val="001D5961"/>
    <w:rsid w:val="001D5B0B"/>
    <w:rsid w:val="001E421B"/>
    <w:rsid w:val="001F0F16"/>
    <w:rsid w:val="002002BE"/>
    <w:rsid w:val="00202335"/>
    <w:rsid w:val="002732D8"/>
    <w:rsid w:val="0027457B"/>
    <w:rsid w:val="002B7536"/>
    <w:rsid w:val="002D0571"/>
    <w:rsid w:val="002E320D"/>
    <w:rsid w:val="002F1C9E"/>
    <w:rsid w:val="002F7045"/>
    <w:rsid w:val="00315C0B"/>
    <w:rsid w:val="00317518"/>
    <w:rsid w:val="0034734E"/>
    <w:rsid w:val="003774EE"/>
    <w:rsid w:val="003A5569"/>
    <w:rsid w:val="003B6D04"/>
    <w:rsid w:val="0042677B"/>
    <w:rsid w:val="00447475"/>
    <w:rsid w:val="00453CF8"/>
    <w:rsid w:val="004D1A58"/>
    <w:rsid w:val="004E31AF"/>
    <w:rsid w:val="004F02F6"/>
    <w:rsid w:val="00506642"/>
    <w:rsid w:val="00562067"/>
    <w:rsid w:val="00573A23"/>
    <w:rsid w:val="00583E5E"/>
    <w:rsid w:val="00592EC7"/>
    <w:rsid w:val="005A0F7C"/>
    <w:rsid w:val="005B5B90"/>
    <w:rsid w:val="005B75D1"/>
    <w:rsid w:val="005C126B"/>
    <w:rsid w:val="005E186E"/>
    <w:rsid w:val="005F463F"/>
    <w:rsid w:val="005F4D44"/>
    <w:rsid w:val="006001BA"/>
    <w:rsid w:val="006079AA"/>
    <w:rsid w:val="006155D0"/>
    <w:rsid w:val="006433EC"/>
    <w:rsid w:val="00694BF5"/>
    <w:rsid w:val="006B60CF"/>
    <w:rsid w:val="006D5B94"/>
    <w:rsid w:val="006E3182"/>
    <w:rsid w:val="006F489A"/>
    <w:rsid w:val="007054C6"/>
    <w:rsid w:val="00705578"/>
    <w:rsid w:val="00707FC5"/>
    <w:rsid w:val="00712038"/>
    <w:rsid w:val="00724148"/>
    <w:rsid w:val="00743502"/>
    <w:rsid w:val="00746E77"/>
    <w:rsid w:val="007640D5"/>
    <w:rsid w:val="00764B6D"/>
    <w:rsid w:val="007652A1"/>
    <w:rsid w:val="0078309D"/>
    <w:rsid w:val="00786E01"/>
    <w:rsid w:val="00792FC7"/>
    <w:rsid w:val="00793525"/>
    <w:rsid w:val="007A3756"/>
    <w:rsid w:val="007B43B6"/>
    <w:rsid w:val="00803003"/>
    <w:rsid w:val="00807517"/>
    <w:rsid w:val="00847994"/>
    <w:rsid w:val="008A1456"/>
    <w:rsid w:val="008C0AB6"/>
    <w:rsid w:val="008C479A"/>
    <w:rsid w:val="008D7E5A"/>
    <w:rsid w:val="009177EB"/>
    <w:rsid w:val="00934EAC"/>
    <w:rsid w:val="00942C40"/>
    <w:rsid w:val="0095658F"/>
    <w:rsid w:val="00956C4A"/>
    <w:rsid w:val="0096436F"/>
    <w:rsid w:val="00986134"/>
    <w:rsid w:val="009C2FF1"/>
    <w:rsid w:val="009D1D0E"/>
    <w:rsid w:val="009E5BAD"/>
    <w:rsid w:val="009E6365"/>
    <w:rsid w:val="009E717A"/>
    <w:rsid w:val="009E7DA7"/>
    <w:rsid w:val="009F03CB"/>
    <w:rsid w:val="009F20E8"/>
    <w:rsid w:val="009F2885"/>
    <w:rsid w:val="009F3C11"/>
    <w:rsid w:val="00A019B0"/>
    <w:rsid w:val="00A25F72"/>
    <w:rsid w:val="00A344DB"/>
    <w:rsid w:val="00A41A3D"/>
    <w:rsid w:val="00A508F6"/>
    <w:rsid w:val="00A75D81"/>
    <w:rsid w:val="00A81442"/>
    <w:rsid w:val="00A82CA0"/>
    <w:rsid w:val="00A90F97"/>
    <w:rsid w:val="00AA0E41"/>
    <w:rsid w:val="00AB6C8A"/>
    <w:rsid w:val="00AC0E41"/>
    <w:rsid w:val="00AD14AE"/>
    <w:rsid w:val="00AE3EB8"/>
    <w:rsid w:val="00B02CD9"/>
    <w:rsid w:val="00B13067"/>
    <w:rsid w:val="00B45767"/>
    <w:rsid w:val="00B554AC"/>
    <w:rsid w:val="00B67FC6"/>
    <w:rsid w:val="00B71B37"/>
    <w:rsid w:val="00B77E62"/>
    <w:rsid w:val="00B81DB3"/>
    <w:rsid w:val="00B81E59"/>
    <w:rsid w:val="00B87B93"/>
    <w:rsid w:val="00B9780C"/>
    <w:rsid w:val="00BA0E4F"/>
    <w:rsid w:val="00BC1CF7"/>
    <w:rsid w:val="00BC5714"/>
    <w:rsid w:val="00BE51CC"/>
    <w:rsid w:val="00BF5E4B"/>
    <w:rsid w:val="00BF6249"/>
    <w:rsid w:val="00C01384"/>
    <w:rsid w:val="00C20061"/>
    <w:rsid w:val="00C20621"/>
    <w:rsid w:val="00C21027"/>
    <w:rsid w:val="00C44982"/>
    <w:rsid w:val="00C45152"/>
    <w:rsid w:val="00C5429C"/>
    <w:rsid w:val="00C929DE"/>
    <w:rsid w:val="00C93F5E"/>
    <w:rsid w:val="00CC4886"/>
    <w:rsid w:val="00CD798A"/>
    <w:rsid w:val="00D40350"/>
    <w:rsid w:val="00D44399"/>
    <w:rsid w:val="00D46D3B"/>
    <w:rsid w:val="00D5439D"/>
    <w:rsid w:val="00D61841"/>
    <w:rsid w:val="00D64F03"/>
    <w:rsid w:val="00D8267A"/>
    <w:rsid w:val="00DA2A7D"/>
    <w:rsid w:val="00DD1553"/>
    <w:rsid w:val="00DE3B06"/>
    <w:rsid w:val="00DE6372"/>
    <w:rsid w:val="00DE7A4D"/>
    <w:rsid w:val="00E128B6"/>
    <w:rsid w:val="00E34F67"/>
    <w:rsid w:val="00E3748F"/>
    <w:rsid w:val="00E53FC5"/>
    <w:rsid w:val="00E71159"/>
    <w:rsid w:val="00E93454"/>
    <w:rsid w:val="00EA0530"/>
    <w:rsid w:val="00EA1C2E"/>
    <w:rsid w:val="00EE57CA"/>
    <w:rsid w:val="00F03BBB"/>
    <w:rsid w:val="00F0772D"/>
    <w:rsid w:val="00F15CC6"/>
    <w:rsid w:val="00F5633F"/>
    <w:rsid w:val="00F9341F"/>
    <w:rsid w:val="00FC2974"/>
    <w:rsid w:val="00FE5BB5"/>
    <w:rsid w:val="00FE6B63"/>
    <w:rsid w:val="09E05B01"/>
    <w:rsid w:val="0C76788C"/>
    <w:rsid w:val="104537E6"/>
    <w:rsid w:val="13EB53BF"/>
    <w:rsid w:val="1751640D"/>
    <w:rsid w:val="18A114DA"/>
    <w:rsid w:val="1C415B38"/>
    <w:rsid w:val="21582F1E"/>
    <w:rsid w:val="29142FE5"/>
    <w:rsid w:val="2B4B0D53"/>
    <w:rsid w:val="2D9A28C7"/>
    <w:rsid w:val="2F1A7D0D"/>
    <w:rsid w:val="313A0AC5"/>
    <w:rsid w:val="3BB54E25"/>
    <w:rsid w:val="47735448"/>
    <w:rsid w:val="4D10344C"/>
    <w:rsid w:val="55C34B33"/>
    <w:rsid w:val="59F51040"/>
    <w:rsid w:val="5EB92C76"/>
    <w:rsid w:val="5F022764"/>
    <w:rsid w:val="606137C0"/>
    <w:rsid w:val="637C2B55"/>
    <w:rsid w:val="683D4284"/>
    <w:rsid w:val="6C59292E"/>
    <w:rsid w:val="6D386756"/>
    <w:rsid w:val="6D9109D0"/>
    <w:rsid w:val="75056822"/>
    <w:rsid w:val="75555242"/>
    <w:rsid w:val="77EE58CF"/>
    <w:rsid w:val="79E247BB"/>
    <w:rsid w:val="7E7C49C1"/>
    <w:rsid w:val="8FDF364B"/>
    <w:rsid w:val="BBFB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40" w:firstLineChars="200"/>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keepNext/>
      <w:keepLines/>
      <w:jc w:val="center"/>
      <w:outlineLvl w:val="0"/>
    </w:pPr>
    <w:rPr>
      <w:rFonts w:eastAsia="黑体"/>
      <w:b/>
      <w:kern w:val="44"/>
      <w:sz w:val="32"/>
    </w:rPr>
  </w:style>
  <w:style w:type="paragraph" w:styleId="3">
    <w:name w:val="heading 2"/>
    <w:basedOn w:val="1"/>
    <w:next w:val="1"/>
    <w:link w:val="46"/>
    <w:qFormat/>
    <w:uiPriority w:val="0"/>
    <w:pPr>
      <w:keepNext/>
      <w:keepLines/>
      <w:spacing w:line="413" w:lineRule="auto"/>
      <w:outlineLvl w:val="1"/>
    </w:pPr>
    <w:rPr>
      <w:rFonts w:ascii="Arial" w:hAnsi="Arial"/>
      <w:b/>
      <w:sz w:val="30"/>
    </w:rPr>
  </w:style>
  <w:style w:type="paragraph" w:styleId="4">
    <w:name w:val="heading 3"/>
    <w:basedOn w:val="1"/>
    <w:next w:val="1"/>
    <w:qFormat/>
    <w:uiPriority w:val="0"/>
    <w:pPr>
      <w:keepNext/>
      <w:tabs>
        <w:tab w:val="left" w:pos="1320"/>
      </w:tabs>
      <w:ind w:left="800" w:leftChars="600" w:hanging="200" w:hangingChars="200"/>
      <w:outlineLvl w:val="2"/>
    </w:pPr>
    <w:rPr>
      <w:rFonts w:ascii="宋体" w:hAnsi="宋体"/>
      <w:b/>
      <w:szCs w:val="28"/>
    </w:rPr>
  </w:style>
  <w:style w:type="paragraph" w:styleId="5">
    <w:name w:val="heading 4"/>
    <w:basedOn w:val="1"/>
    <w:next w:val="1"/>
    <w:link w:val="50"/>
    <w:qFormat/>
    <w:uiPriority w:val="0"/>
    <w:pPr>
      <w:keepNext/>
      <w:keepLines/>
      <w:numPr>
        <w:ilvl w:val="3"/>
        <w:numId w:val="1"/>
      </w:numPr>
      <w:spacing w:before="280" w:after="290" w:line="376" w:lineRule="auto"/>
      <w:ind w:firstLineChars="0"/>
      <w:jc w:val="both"/>
      <w:outlineLvl w:val="3"/>
    </w:pPr>
    <w:rPr>
      <w:rFonts w:ascii="Arial" w:hAnsi="Arial" w:eastAsia="黑体"/>
      <w:b/>
      <w:bCs/>
      <w:szCs w:val="28"/>
    </w:rPr>
  </w:style>
  <w:style w:type="paragraph" w:styleId="6">
    <w:name w:val="heading 5"/>
    <w:basedOn w:val="1"/>
    <w:next w:val="1"/>
    <w:link w:val="51"/>
    <w:qFormat/>
    <w:uiPriority w:val="0"/>
    <w:pPr>
      <w:keepNext/>
      <w:keepLines/>
      <w:numPr>
        <w:ilvl w:val="4"/>
        <w:numId w:val="1"/>
      </w:numPr>
      <w:spacing w:before="280" w:after="290" w:line="376" w:lineRule="auto"/>
      <w:ind w:firstLineChars="0"/>
      <w:jc w:val="both"/>
      <w:outlineLvl w:val="4"/>
    </w:pPr>
    <w:rPr>
      <w:rFonts w:ascii="宋体" w:hAnsi="宋体" w:eastAsia="宋体"/>
      <w:b/>
      <w:bCs/>
      <w:sz w:val="21"/>
      <w:szCs w:val="28"/>
    </w:rPr>
  </w:style>
  <w:style w:type="paragraph" w:styleId="7">
    <w:name w:val="heading 6"/>
    <w:basedOn w:val="1"/>
    <w:next w:val="1"/>
    <w:qFormat/>
    <w:uiPriority w:val="0"/>
    <w:pPr>
      <w:keepNext/>
      <w:keepLines/>
      <w:spacing w:line="240" w:lineRule="auto"/>
      <w:ind w:firstLine="0" w:firstLineChars="0"/>
      <w:jc w:val="center"/>
      <w:outlineLvl w:val="5"/>
    </w:pPr>
    <w:rPr>
      <w:rFonts w:ascii="宋体" w:hAnsi="宋体"/>
      <w:sz w:val="21"/>
    </w:rPr>
  </w:style>
  <w:style w:type="paragraph" w:styleId="8">
    <w:name w:val="heading 7"/>
    <w:basedOn w:val="1"/>
    <w:next w:val="1"/>
    <w:link w:val="52"/>
    <w:qFormat/>
    <w:uiPriority w:val="0"/>
    <w:pPr>
      <w:keepNext/>
      <w:keepLines/>
      <w:numPr>
        <w:ilvl w:val="6"/>
        <w:numId w:val="1"/>
      </w:numPr>
      <w:spacing w:before="240" w:after="64" w:line="320" w:lineRule="auto"/>
      <w:ind w:firstLineChars="0"/>
      <w:jc w:val="both"/>
      <w:outlineLvl w:val="6"/>
    </w:pPr>
    <w:rPr>
      <w:rFonts w:eastAsia="宋体"/>
      <w:b/>
      <w:bCs/>
      <w:sz w:val="24"/>
      <w:szCs w:val="24"/>
    </w:rPr>
  </w:style>
  <w:style w:type="paragraph" w:styleId="9">
    <w:name w:val="heading 8"/>
    <w:basedOn w:val="1"/>
    <w:next w:val="1"/>
    <w:link w:val="53"/>
    <w:qFormat/>
    <w:uiPriority w:val="0"/>
    <w:pPr>
      <w:keepNext/>
      <w:keepLines/>
      <w:numPr>
        <w:ilvl w:val="7"/>
        <w:numId w:val="1"/>
      </w:numPr>
      <w:spacing w:before="240" w:after="64" w:line="320" w:lineRule="auto"/>
      <w:ind w:firstLineChars="0"/>
      <w:jc w:val="both"/>
      <w:outlineLvl w:val="7"/>
    </w:pPr>
    <w:rPr>
      <w:rFonts w:ascii="Arial" w:hAnsi="Arial" w:eastAsia="黑体"/>
      <w:sz w:val="24"/>
      <w:szCs w:val="24"/>
    </w:rPr>
  </w:style>
  <w:style w:type="paragraph" w:styleId="10">
    <w:name w:val="heading 9"/>
    <w:basedOn w:val="1"/>
    <w:next w:val="1"/>
    <w:link w:val="54"/>
    <w:qFormat/>
    <w:uiPriority w:val="0"/>
    <w:pPr>
      <w:keepNext/>
      <w:keepLines/>
      <w:numPr>
        <w:ilvl w:val="8"/>
        <w:numId w:val="1"/>
      </w:numPr>
      <w:spacing w:before="240" w:after="64" w:line="320" w:lineRule="auto"/>
      <w:ind w:firstLineChars="0"/>
      <w:jc w:val="both"/>
      <w:outlineLvl w:val="8"/>
    </w:pPr>
    <w:rPr>
      <w:rFonts w:ascii="Arial" w:hAnsi="Arial" w:eastAsia="黑体"/>
      <w:sz w:val="21"/>
      <w:szCs w:val="21"/>
    </w:rPr>
  </w:style>
  <w:style w:type="character" w:default="1" w:styleId="42">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adjustRightInd w:val="0"/>
      <w:spacing w:line="312" w:lineRule="atLeast"/>
      <w:ind w:firstLine="420" w:firstLineChars="0"/>
      <w:jc w:val="both"/>
      <w:textAlignment w:val="baseline"/>
    </w:pPr>
    <w:rPr>
      <w:rFonts w:eastAsia="宋体"/>
      <w:kern w:val="0"/>
      <w:sz w:val="21"/>
    </w:rPr>
  </w:style>
  <w:style w:type="paragraph" w:styleId="13">
    <w:name w:val="Document Map"/>
    <w:basedOn w:val="1"/>
    <w:link w:val="65"/>
    <w:semiHidden/>
    <w:qFormat/>
    <w:uiPriority w:val="0"/>
    <w:pPr>
      <w:shd w:val="clear" w:color="auto" w:fill="000080"/>
      <w:spacing w:line="240" w:lineRule="auto"/>
      <w:ind w:firstLine="0" w:firstLineChars="0"/>
      <w:jc w:val="both"/>
    </w:pPr>
    <w:rPr>
      <w:rFonts w:eastAsia="宋体"/>
      <w:sz w:val="21"/>
      <w:szCs w:val="24"/>
    </w:rPr>
  </w:style>
  <w:style w:type="paragraph" w:styleId="14">
    <w:name w:val="annotation text"/>
    <w:basedOn w:val="1"/>
    <w:link w:val="66"/>
    <w:semiHidden/>
    <w:qFormat/>
    <w:uiPriority w:val="0"/>
    <w:pPr>
      <w:spacing w:line="240" w:lineRule="auto"/>
      <w:ind w:firstLine="0" w:firstLineChars="0"/>
    </w:pPr>
    <w:rPr>
      <w:rFonts w:eastAsia="宋体"/>
      <w:sz w:val="21"/>
      <w:szCs w:val="24"/>
    </w:rPr>
  </w:style>
  <w:style w:type="paragraph" w:styleId="15">
    <w:name w:val="Body Text 3"/>
    <w:basedOn w:val="1"/>
    <w:link w:val="55"/>
    <w:unhideWhenUsed/>
    <w:qFormat/>
    <w:uiPriority w:val="0"/>
    <w:pPr>
      <w:spacing w:line="240" w:lineRule="auto"/>
      <w:ind w:firstLine="0" w:firstLineChars="0"/>
      <w:jc w:val="center"/>
    </w:pPr>
    <w:rPr>
      <w:kern w:val="18"/>
      <w:sz w:val="21"/>
    </w:rPr>
  </w:style>
  <w:style w:type="paragraph" w:styleId="16">
    <w:name w:val="Body Text"/>
    <w:basedOn w:val="1"/>
    <w:next w:val="1"/>
    <w:link w:val="58"/>
    <w:unhideWhenUsed/>
    <w:qFormat/>
    <w:uiPriority w:val="0"/>
    <w:pPr>
      <w:spacing w:line="240" w:lineRule="auto"/>
      <w:ind w:firstLine="0" w:firstLineChars="0"/>
      <w:jc w:val="center"/>
    </w:pPr>
    <w:rPr>
      <w:sz w:val="21"/>
      <w:szCs w:val="21"/>
    </w:rPr>
  </w:style>
  <w:style w:type="paragraph" w:styleId="17">
    <w:name w:val="Body Text Indent"/>
    <w:basedOn w:val="1"/>
    <w:link w:val="80"/>
    <w:qFormat/>
    <w:uiPriority w:val="0"/>
    <w:pPr>
      <w:spacing w:after="120" w:line="240" w:lineRule="auto"/>
      <w:ind w:left="420" w:leftChars="200" w:firstLine="0" w:firstLineChars="0"/>
      <w:jc w:val="both"/>
    </w:pPr>
    <w:rPr>
      <w:rFonts w:eastAsia="宋体"/>
      <w:color w:val="000000"/>
      <w:kern w:val="0"/>
      <w:sz w:val="21"/>
      <w:szCs w:val="21"/>
      <w:u w:color="000000"/>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unhideWhenUsed/>
    <w:qFormat/>
    <w:uiPriority w:val="0"/>
    <w:rPr>
      <w:rFonts w:ascii="宋体" w:hAnsi="Courier New" w:cs="宋体"/>
    </w:rPr>
  </w:style>
  <w:style w:type="paragraph" w:styleId="21">
    <w:name w:val="toc 8"/>
    <w:basedOn w:val="1"/>
    <w:next w:val="1"/>
    <w:unhideWhenUsed/>
    <w:qFormat/>
    <w:uiPriority w:val="39"/>
    <w:pPr>
      <w:ind w:left="2940" w:leftChars="1400"/>
    </w:pPr>
  </w:style>
  <w:style w:type="paragraph" w:styleId="22">
    <w:name w:val="Date"/>
    <w:basedOn w:val="1"/>
    <w:next w:val="1"/>
    <w:link w:val="74"/>
    <w:qFormat/>
    <w:uiPriority w:val="0"/>
    <w:pPr>
      <w:spacing w:line="240" w:lineRule="auto"/>
      <w:ind w:left="100" w:leftChars="2500" w:firstLine="0" w:firstLineChars="0"/>
      <w:jc w:val="both"/>
    </w:pPr>
    <w:rPr>
      <w:rFonts w:eastAsia="宋体"/>
      <w:b/>
      <w:bCs/>
      <w:sz w:val="30"/>
      <w:szCs w:val="24"/>
    </w:rPr>
  </w:style>
  <w:style w:type="paragraph" w:styleId="23">
    <w:name w:val="Body Text Indent 2"/>
    <w:basedOn w:val="1"/>
    <w:link w:val="67"/>
    <w:qFormat/>
    <w:uiPriority w:val="0"/>
    <w:pPr>
      <w:spacing w:after="120" w:line="480" w:lineRule="auto"/>
      <w:ind w:left="420" w:leftChars="200" w:firstLine="0" w:firstLineChars="0"/>
      <w:jc w:val="both"/>
    </w:pPr>
    <w:rPr>
      <w:rFonts w:eastAsia="宋体"/>
      <w:color w:val="000000"/>
      <w:kern w:val="0"/>
      <w:sz w:val="21"/>
      <w:szCs w:val="21"/>
      <w:u w:color="000000"/>
    </w:rPr>
  </w:style>
  <w:style w:type="paragraph" w:styleId="24">
    <w:name w:val="Balloon Text"/>
    <w:basedOn w:val="1"/>
    <w:link w:val="79"/>
    <w:semiHidden/>
    <w:qFormat/>
    <w:uiPriority w:val="0"/>
    <w:pPr>
      <w:spacing w:line="240" w:lineRule="auto"/>
      <w:ind w:firstLine="0" w:firstLineChars="0"/>
      <w:jc w:val="both"/>
    </w:pPr>
    <w:rPr>
      <w:rFonts w:eastAsia="宋体"/>
      <w:sz w:val="18"/>
      <w:szCs w:val="18"/>
    </w:rPr>
  </w:style>
  <w:style w:type="paragraph" w:styleId="25">
    <w:name w:val="footer"/>
    <w:basedOn w:val="1"/>
    <w:link w:val="49"/>
    <w:unhideWhenUsed/>
    <w:qFormat/>
    <w:uiPriority w:val="0"/>
    <w:pPr>
      <w:tabs>
        <w:tab w:val="center" w:pos="4153"/>
        <w:tab w:val="right" w:pos="8306"/>
      </w:tabs>
      <w:snapToGrid w:val="0"/>
    </w:pPr>
    <w:rPr>
      <w:sz w:val="18"/>
      <w:szCs w:val="18"/>
    </w:rPr>
  </w:style>
  <w:style w:type="paragraph" w:styleId="26">
    <w:name w:val="header"/>
    <w:basedOn w:val="1"/>
    <w:unhideWhenUsed/>
    <w:qFormat/>
    <w:uiPriority w:val="0"/>
    <w:pPr>
      <w:pBdr>
        <w:bottom w:val="single" w:color="auto" w:sz="6" w:space="1"/>
      </w:pBdr>
      <w:tabs>
        <w:tab w:val="center" w:leader="underscore" w:pos="4153"/>
        <w:tab w:val="right" w:pos="8306"/>
      </w:tabs>
      <w:snapToGrid w:val="0"/>
      <w:spacing w:line="240" w:lineRule="auto"/>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toc 6"/>
    <w:basedOn w:val="1"/>
    <w:next w:val="1"/>
    <w:unhideWhenUsed/>
    <w:qFormat/>
    <w:uiPriority w:val="39"/>
    <w:pPr>
      <w:ind w:left="2100" w:leftChars="1000"/>
    </w:pPr>
  </w:style>
  <w:style w:type="paragraph" w:styleId="30">
    <w:name w:val="Body Text Indent 3"/>
    <w:basedOn w:val="1"/>
    <w:link w:val="78"/>
    <w:qFormat/>
    <w:uiPriority w:val="0"/>
    <w:pPr>
      <w:tabs>
        <w:tab w:val="left" w:pos="705"/>
      </w:tabs>
      <w:spacing w:line="240" w:lineRule="auto"/>
      <w:ind w:firstLine="570" w:firstLineChars="0"/>
      <w:jc w:val="both"/>
    </w:pPr>
    <w:rPr>
      <w:rFonts w:eastAsia="宋体"/>
      <w:szCs w:val="24"/>
    </w:rPr>
  </w:style>
  <w:style w:type="paragraph" w:styleId="31">
    <w:name w:val="table of figures"/>
    <w:basedOn w:val="1"/>
    <w:next w:val="1"/>
    <w:semiHidden/>
    <w:qFormat/>
    <w:uiPriority w:val="0"/>
    <w:pPr>
      <w:spacing w:line="240" w:lineRule="auto"/>
      <w:ind w:left="420" w:hanging="420" w:firstLineChars="0"/>
      <w:jc w:val="center"/>
    </w:pPr>
    <w:rPr>
      <w:rFonts w:ascii="黑体" w:eastAsia="黑体"/>
      <w:b/>
      <w:bCs/>
      <w:caps/>
      <w:sz w:val="24"/>
      <w:szCs w:val="24"/>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Body Text 2"/>
    <w:basedOn w:val="1"/>
    <w:link w:val="69"/>
    <w:qFormat/>
    <w:uiPriority w:val="0"/>
    <w:pPr>
      <w:spacing w:line="240" w:lineRule="auto"/>
      <w:ind w:firstLine="0" w:firstLineChars="0"/>
      <w:jc w:val="center"/>
    </w:pPr>
    <w:rPr>
      <w:rFonts w:eastAsia="宋体"/>
      <w:sz w:val="21"/>
      <w:szCs w:val="24"/>
    </w:rPr>
  </w:style>
  <w:style w:type="paragraph" w:styleId="35">
    <w:name w:val="Normal (Web)"/>
    <w:basedOn w:val="1"/>
    <w:qFormat/>
    <w:uiPriority w:val="0"/>
    <w:pPr>
      <w:widowControl/>
      <w:spacing w:before="100" w:beforeAutospacing="1" w:after="100" w:afterAutospacing="1" w:line="240" w:lineRule="auto"/>
      <w:ind w:firstLine="0" w:firstLineChars="0"/>
    </w:pPr>
    <w:rPr>
      <w:rFonts w:hint="eastAsia" w:ascii="宋体" w:hAnsi="宋体" w:eastAsia="宋体"/>
      <w:kern w:val="0"/>
      <w:sz w:val="24"/>
      <w:szCs w:val="24"/>
    </w:rPr>
  </w:style>
  <w:style w:type="paragraph" w:styleId="36">
    <w:name w:val="annotation subject"/>
    <w:basedOn w:val="14"/>
    <w:next w:val="14"/>
    <w:link w:val="81"/>
    <w:semiHidden/>
    <w:qFormat/>
    <w:uiPriority w:val="0"/>
    <w:rPr>
      <w:b/>
      <w:bCs/>
    </w:rPr>
  </w:style>
  <w:style w:type="table" w:styleId="38">
    <w:name w:val="Table Grid"/>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9">
    <w:name w:val="Table Theme"/>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Grid 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41">
    <w:name w:val="Table Grid 7"/>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customStyle="1" w:styleId="46">
    <w:name w:val="标题 2 字符"/>
    <w:link w:val="3"/>
    <w:qFormat/>
    <w:uiPriority w:val="9"/>
    <w:rPr>
      <w:rFonts w:ascii="Arial" w:hAnsi="Arial"/>
      <w:b/>
      <w:sz w:val="30"/>
    </w:rPr>
  </w:style>
  <w:style w:type="paragraph" w:customStyle="1" w:styleId="47">
    <w:name w:val="p0"/>
    <w:basedOn w:val="1"/>
    <w:qFormat/>
    <w:uiPriority w:val="0"/>
    <w:pPr>
      <w:widowControl/>
      <w:spacing w:line="240" w:lineRule="auto"/>
      <w:ind w:firstLine="0" w:firstLineChars="0"/>
      <w:jc w:val="both"/>
    </w:pPr>
    <w:rPr>
      <w:rFonts w:eastAsia="宋体"/>
      <w:kern w:val="0"/>
      <w:sz w:val="21"/>
      <w:szCs w:val="21"/>
    </w:rPr>
  </w:style>
  <w:style w:type="paragraph" w:customStyle="1" w:styleId="48">
    <w:name w:val="表格"/>
    <w:basedOn w:val="1"/>
    <w:qFormat/>
    <w:uiPriority w:val="0"/>
    <w:pPr>
      <w:widowControl/>
      <w:spacing w:line="240" w:lineRule="auto"/>
      <w:ind w:firstLine="0" w:firstLineChars="0"/>
      <w:jc w:val="center"/>
    </w:pPr>
    <w:rPr>
      <w:rFonts w:ascii="宋体" w:hAnsi="宋体"/>
      <w:color w:val="000000"/>
      <w:kern w:val="28"/>
      <w:sz w:val="21"/>
    </w:rPr>
  </w:style>
  <w:style w:type="character" w:customStyle="1" w:styleId="49">
    <w:name w:val="页脚 字符"/>
    <w:link w:val="25"/>
    <w:qFormat/>
    <w:uiPriority w:val="99"/>
    <w:rPr>
      <w:rFonts w:ascii="Times New Roman" w:hAnsi="Times New Roman" w:eastAsia="仿宋_GB2312"/>
      <w:kern w:val="2"/>
      <w:sz w:val="18"/>
      <w:szCs w:val="18"/>
    </w:rPr>
  </w:style>
  <w:style w:type="character" w:customStyle="1" w:styleId="50">
    <w:name w:val="标题 4 字符"/>
    <w:link w:val="5"/>
    <w:qFormat/>
    <w:uiPriority w:val="0"/>
    <w:rPr>
      <w:rFonts w:ascii="Arial" w:hAnsi="Arial" w:eastAsia="黑体"/>
      <w:b/>
      <w:bCs/>
      <w:kern w:val="2"/>
      <w:sz w:val="28"/>
      <w:szCs w:val="28"/>
    </w:rPr>
  </w:style>
  <w:style w:type="character" w:customStyle="1" w:styleId="51">
    <w:name w:val="标题 5 字符"/>
    <w:link w:val="6"/>
    <w:qFormat/>
    <w:uiPriority w:val="0"/>
    <w:rPr>
      <w:rFonts w:ascii="宋体" w:hAnsi="宋体"/>
      <w:b/>
      <w:bCs/>
      <w:kern w:val="2"/>
      <w:sz w:val="21"/>
      <w:szCs w:val="28"/>
    </w:rPr>
  </w:style>
  <w:style w:type="character" w:customStyle="1" w:styleId="52">
    <w:name w:val="标题 7 字符"/>
    <w:link w:val="8"/>
    <w:qFormat/>
    <w:uiPriority w:val="0"/>
    <w:rPr>
      <w:rFonts w:ascii="Times New Roman" w:hAnsi="Times New Roman"/>
      <w:b/>
      <w:bCs/>
      <w:kern w:val="2"/>
      <w:sz w:val="24"/>
      <w:szCs w:val="24"/>
    </w:rPr>
  </w:style>
  <w:style w:type="character" w:customStyle="1" w:styleId="53">
    <w:name w:val="标题 8 字符"/>
    <w:link w:val="9"/>
    <w:qFormat/>
    <w:uiPriority w:val="0"/>
    <w:rPr>
      <w:rFonts w:ascii="Arial" w:hAnsi="Arial" w:eastAsia="黑体"/>
      <w:kern w:val="2"/>
      <w:sz w:val="24"/>
      <w:szCs w:val="24"/>
    </w:rPr>
  </w:style>
  <w:style w:type="character" w:customStyle="1" w:styleId="54">
    <w:name w:val="标题 9 字符"/>
    <w:link w:val="10"/>
    <w:qFormat/>
    <w:uiPriority w:val="0"/>
    <w:rPr>
      <w:rFonts w:ascii="Arial" w:hAnsi="Arial" w:eastAsia="黑体"/>
      <w:kern w:val="2"/>
      <w:sz w:val="21"/>
      <w:szCs w:val="21"/>
    </w:rPr>
  </w:style>
  <w:style w:type="character" w:customStyle="1" w:styleId="55">
    <w:name w:val="正文文本 3 字符"/>
    <w:link w:val="15"/>
    <w:qFormat/>
    <w:uiPriority w:val="0"/>
    <w:rPr>
      <w:rFonts w:ascii="Times New Roman" w:hAnsi="Times New Roman" w:eastAsia="仿宋_GB2312"/>
      <w:kern w:val="18"/>
      <w:sz w:val="21"/>
    </w:rPr>
  </w:style>
  <w:style w:type="character" w:customStyle="1" w:styleId="56">
    <w:name w:val="正文1 Char Char"/>
    <w:link w:val="57"/>
    <w:qFormat/>
    <w:locked/>
    <w:uiPriority w:val="0"/>
    <w:rPr>
      <w:kern w:val="2"/>
      <w:sz w:val="21"/>
    </w:rPr>
  </w:style>
  <w:style w:type="paragraph" w:customStyle="1" w:styleId="57">
    <w:name w:val="正文1"/>
    <w:basedOn w:val="1"/>
    <w:link w:val="56"/>
    <w:qFormat/>
    <w:uiPriority w:val="0"/>
    <w:pPr>
      <w:ind w:firstLine="420"/>
      <w:jc w:val="both"/>
    </w:pPr>
    <w:rPr>
      <w:rFonts w:ascii="Calibri" w:hAnsi="Calibri" w:eastAsia="宋体"/>
      <w:sz w:val="21"/>
    </w:rPr>
  </w:style>
  <w:style w:type="character" w:customStyle="1" w:styleId="58">
    <w:name w:val="正文文本 字符"/>
    <w:link w:val="16"/>
    <w:qFormat/>
    <w:uiPriority w:val="99"/>
    <w:rPr>
      <w:rFonts w:ascii="Times New Roman" w:hAnsi="Times New Roman" w:eastAsia="仿宋_GB2312"/>
      <w:kern w:val="2"/>
      <w:sz w:val="21"/>
      <w:szCs w:val="21"/>
    </w:rPr>
  </w:style>
  <w:style w:type="character" w:customStyle="1" w:styleId="59">
    <w:name w:val="标题 2 Char Char Char"/>
    <w:qFormat/>
    <w:uiPriority w:val="0"/>
    <w:rPr>
      <w:rFonts w:ascii="Arial" w:hAnsi="Arial" w:eastAsia="黑体"/>
      <w:b/>
      <w:bCs/>
      <w:kern w:val="2"/>
      <w:sz w:val="32"/>
      <w:szCs w:val="32"/>
      <w:lang w:val="en-US" w:eastAsia="zh-CN" w:bidi="ar-SA"/>
    </w:rPr>
  </w:style>
  <w:style w:type="character" w:customStyle="1" w:styleId="60">
    <w:name w:val="font01"/>
    <w:qFormat/>
    <w:uiPriority w:val="0"/>
    <w:rPr>
      <w:rFonts w:hint="eastAsia" w:ascii="宋体" w:hAnsi="宋体" w:eastAsia="宋体" w:cs="宋体"/>
      <w:color w:val="000000"/>
      <w:sz w:val="24"/>
      <w:szCs w:val="24"/>
      <w:u w:val="none"/>
    </w:rPr>
  </w:style>
  <w:style w:type="character" w:customStyle="1" w:styleId="61">
    <w:name w:val="font11"/>
    <w:qFormat/>
    <w:uiPriority w:val="0"/>
    <w:rPr>
      <w:rFonts w:hint="eastAsia" w:ascii="宋体" w:hAnsi="宋体" w:eastAsia="宋体" w:cs="宋体"/>
      <w:color w:val="000000"/>
      <w:sz w:val="21"/>
      <w:szCs w:val="21"/>
      <w:u w:val="none"/>
    </w:rPr>
  </w:style>
  <w:style w:type="character" w:customStyle="1" w:styleId="62">
    <w:name w:val="st12"/>
    <w:qFormat/>
    <w:uiPriority w:val="0"/>
  </w:style>
  <w:style w:type="character" w:customStyle="1" w:styleId="63">
    <w:name w:val="font21"/>
    <w:qFormat/>
    <w:uiPriority w:val="0"/>
    <w:rPr>
      <w:rFonts w:hint="default" w:ascii="仿宋_GB2312" w:eastAsia="仿宋_GB2312" w:cs="仿宋_GB2312"/>
      <w:color w:val="000000"/>
      <w:sz w:val="21"/>
      <w:szCs w:val="21"/>
      <w:u w:val="none"/>
    </w:rPr>
  </w:style>
  <w:style w:type="character" w:customStyle="1" w:styleId="64">
    <w:name w:val="Unresolved Mention"/>
    <w:unhideWhenUsed/>
    <w:qFormat/>
    <w:uiPriority w:val="99"/>
    <w:rPr>
      <w:color w:val="605E5C"/>
      <w:shd w:val="clear" w:color="auto" w:fill="E1DFDD"/>
    </w:rPr>
  </w:style>
  <w:style w:type="character" w:customStyle="1" w:styleId="65">
    <w:name w:val="文档结构图 字符"/>
    <w:link w:val="13"/>
    <w:semiHidden/>
    <w:qFormat/>
    <w:uiPriority w:val="0"/>
    <w:rPr>
      <w:rFonts w:ascii="Times New Roman" w:hAnsi="Times New Roman"/>
      <w:kern w:val="2"/>
      <w:sz w:val="21"/>
      <w:szCs w:val="24"/>
      <w:shd w:val="clear" w:color="auto" w:fill="000080"/>
    </w:rPr>
  </w:style>
  <w:style w:type="character" w:customStyle="1" w:styleId="66">
    <w:name w:val="批注文字 字符"/>
    <w:link w:val="14"/>
    <w:semiHidden/>
    <w:qFormat/>
    <w:uiPriority w:val="0"/>
    <w:rPr>
      <w:rFonts w:ascii="Times New Roman" w:hAnsi="Times New Roman"/>
      <w:kern w:val="2"/>
      <w:sz w:val="21"/>
      <w:szCs w:val="24"/>
    </w:rPr>
  </w:style>
  <w:style w:type="character" w:customStyle="1" w:styleId="67">
    <w:name w:val="正文文本缩进 2 字符"/>
    <w:link w:val="23"/>
    <w:qFormat/>
    <w:uiPriority w:val="0"/>
    <w:rPr>
      <w:rFonts w:ascii="Times New Roman" w:hAnsi="Times New Roman"/>
      <w:color w:val="000000"/>
      <w:sz w:val="21"/>
      <w:szCs w:val="21"/>
      <w:u w:color="000000"/>
    </w:rPr>
  </w:style>
  <w:style w:type="paragraph" w:customStyle="1" w:styleId="68">
    <w:name w:val="表格文字"/>
    <w:qFormat/>
    <w:uiPriority w:val="0"/>
    <w:pPr>
      <w:widowControl w:val="0"/>
      <w:jc w:val="center"/>
    </w:pPr>
    <w:rPr>
      <w:rFonts w:ascii="Times New Roman" w:hAnsi="Times New Roman" w:eastAsia="仿宋_GB2312" w:cs="Times New Roman"/>
      <w:color w:val="333333"/>
      <w:sz w:val="21"/>
      <w:szCs w:val="28"/>
      <w:lang w:val="en-US" w:eastAsia="zh-CN" w:bidi="ar-SA"/>
    </w:rPr>
  </w:style>
  <w:style w:type="character" w:customStyle="1" w:styleId="69">
    <w:name w:val="正文文本 2 字符"/>
    <w:link w:val="34"/>
    <w:qFormat/>
    <w:uiPriority w:val="0"/>
    <w:rPr>
      <w:rFonts w:ascii="Times New Roman" w:hAnsi="Times New Roman"/>
      <w:kern w:val="2"/>
      <w:sz w:val="21"/>
      <w:szCs w:val="24"/>
    </w:rPr>
  </w:style>
  <w:style w:type="paragraph" w:customStyle="1" w:styleId="70">
    <w:name w:val="表头"/>
    <w:next w:val="16"/>
    <w:qFormat/>
    <w:uiPriority w:val="0"/>
    <w:pPr>
      <w:ind w:firstLine="420" w:firstLineChars="200"/>
    </w:pPr>
    <w:rPr>
      <w:rFonts w:ascii="Times New Roman" w:hAnsi="Times New Roman" w:eastAsia="黑体" w:cs="Times New Roman"/>
      <w:color w:val="333333"/>
      <w:sz w:val="21"/>
      <w:szCs w:val="21"/>
      <w:lang w:val="en-US" w:eastAsia="zh-CN" w:bidi="ar-SA"/>
    </w:rPr>
  </w:style>
  <w:style w:type="paragraph" w:customStyle="1" w:styleId="71">
    <w:name w:val="样式"/>
    <w:basedOn w:val="1"/>
    <w:next w:val="12"/>
    <w:qFormat/>
    <w:uiPriority w:val="0"/>
    <w:pPr>
      <w:ind w:firstLine="420" w:firstLineChars="0"/>
      <w:jc w:val="both"/>
    </w:pPr>
    <w:rPr>
      <w:rFonts w:eastAsia="宋体"/>
      <w:kern w:val="28"/>
      <w:sz w:val="24"/>
      <w:szCs w:val="24"/>
    </w:rPr>
  </w:style>
  <w:style w:type="paragraph" w:customStyle="1" w:styleId="72">
    <w:name w:val="zgx"/>
    <w:basedOn w:val="1"/>
    <w:qFormat/>
    <w:uiPriority w:val="0"/>
    <w:pPr>
      <w:adjustRightInd w:val="0"/>
      <w:ind w:firstLine="454" w:firstLineChars="0"/>
      <w:jc w:val="both"/>
      <w:textAlignment w:val="baseline"/>
    </w:pPr>
    <w:rPr>
      <w:rFonts w:eastAsia="宋体"/>
      <w:kern w:val="28"/>
      <w:sz w:val="24"/>
    </w:rPr>
  </w:style>
  <w:style w:type="paragraph" w:customStyle="1" w:styleId="73">
    <w:name w:val="Char"/>
    <w:basedOn w:val="1"/>
    <w:qFormat/>
    <w:uiPriority w:val="0"/>
    <w:pPr>
      <w:spacing w:line="240" w:lineRule="auto"/>
      <w:ind w:firstLine="0" w:firstLineChars="0"/>
      <w:jc w:val="both"/>
    </w:pPr>
    <w:rPr>
      <w:rFonts w:eastAsia="宋体"/>
      <w:sz w:val="21"/>
    </w:rPr>
  </w:style>
  <w:style w:type="character" w:customStyle="1" w:styleId="74">
    <w:name w:val="日期 字符"/>
    <w:link w:val="22"/>
    <w:qFormat/>
    <w:uiPriority w:val="0"/>
    <w:rPr>
      <w:rFonts w:ascii="Times New Roman" w:hAnsi="Times New Roman"/>
      <w:b/>
      <w:bCs/>
      <w:kern w:val="2"/>
      <w:sz w:val="30"/>
      <w:szCs w:val="24"/>
    </w:rPr>
  </w:style>
  <w:style w:type="paragraph" w:customStyle="1" w:styleId="75">
    <w:name w:val="h标题1.1.1"/>
    <w:basedOn w:val="5"/>
    <w:qFormat/>
    <w:uiPriority w:val="0"/>
    <w:pPr>
      <w:numPr>
        <w:ilvl w:val="2"/>
        <w:numId w:val="2"/>
      </w:numPr>
      <w:spacing w:before="0" w:after="0" w:line="360" w:lineRule="auto"/>
    </w:pPr>
    <w:rPr>
      <w:rFonts w:ascii="黑体" w:hAnsi="Cambria" w:cs="黑体"/>
    </w:rPr>
  </w:style>
  <w:style w:type="paragraph" w:customStyle="1" w:styleId="76">
    <w:name w:val="样式 正文1 + 宋体 加粗 居中 段前: 6 磅 段后: 3.6 磅 行距: 固定值 20 磅1"/>
    <w:basedOn w:val="1"/>
    <w:qFormat/>
    <w:uiPriority w:val="0"/>
    <w:pPr>
      <w:spacing w:after="72" w:afterLines="30" w:line="240" w:lineRule="auto"/>
      <w:ind w:firstLine="0" w:firstLineChars="0"/>
      <w:jc w:val="center"/>
    </w:pPr>
    <w:rPr>
      <w:rFonts w:eastAsia="宋体" w:cs="宋体"/>
      <w:b/>
      <w:bCs/>
      <w:sz w:val="24"/>
    </w:rPr>
  </w:style>
  <w:style w:type="paragraph" w:customStyle="1" w:styleId="77">
    <w:name w:val="小节标题"/>
    <w:basedOn w:val="1"/>
    <w:next w:val="1"/>
    <w:qFormat/>
    <w:uiPriority w:val="0"/>
    <w:pPr>
      <w:widowControl/>
      <w:spacing w:before="175" w:after="102" w:line="566" w:lineRule="atLeast"/>
      <w:ind w:firstLine="0" w:firstLineChars="0"/>
      <w:jc w:val="both"/>
      <w:textAlignment w:val="baseline"/>
    </w:pPr>
    <w:rPr>
      <w:rFonts w:eastAsia="黑体"/>
      <w:color w:val="000000"/>
      <w:kern w:val="0"/>
      <w:sz w:val="21"/>
      <w:u w:color="000000"/>
    </w:rPr>
  </w:style>
  <w:style w:type="character" w:customStyle="1" w:styleId="78">
    <w:name w:val="正文文本缩进 3 字符"/>
    <w:link w:val="30"/>
    <w:qFormat/>
    <w:uiPriority w:val="0"/>
    <w:rPr>
      <w:rFonts w:ascii="Times New Roman" w:hAnsi="Times New Roman"/>
      <w:kern w:val="2"/>
      <w:sz w:val="28"/>
      <w:szCs w:val="24"/>
    </w:rPr>
  </w:style>
  <w:style w:type="character" w:customStyle="1" w:styleId="79">
    <w:name w:val="批注框文本 字符"/>
    <w:link w:val="24"/>
    <w:semiHidden/>
    <w:qFormat/>
    <w:uiPriority w:val="0"/>
    <w:rPr>
      <w:rFonts w:ascii="Times New Roman" w:hAnsi="Times New Roman"/>
      <w:kern w:val="2"/>
      <w:sz w:val="18"/>
      <w:szCs w:val="18"/>
    </w:rPr>
  </w:style>
  <w:style w:type="character" w:customStyle="1" w:styleId="80">
    <w:name w:val="正文文本缩进 字符"/>
    <w:link w:val="17"/>
    <w:qFormat/>
    <w:uiPriority w:val="0"/>
    <w:rPr>
      <w:rFonts w:ascii="Times New Roman" w:hAnsi="Times New Roman"/>
      <w:color w:val="000000"/>
      <w:sz w:val="21"/>
      <w:szCs w:val="21"/>
      <w:u w:color="000000"/>
    </w:rPr>
  </w:style>
  <w:style w:type="character" w:customStyle="1" w:styleId="81">
    <w:name w:val="批注主题 字符"/>
    <w:link w:val="36"/>
    <w:semiHidden/>
    <w:qFormat/>
    <w:uiPriority w:val="0"/>
    <w:rPr>
      <w:rFonts w:ascii="Times New Roman" w:hAnsi="Times New Roman"/>
      <w:b/>
      <w:bCs/>
      <w:kern w:val="2"/>
      <w:sz w:val="21"/>
      <w:szCs w:val="24"/>
    </w:rPr>
  </w:style>
  <w:style w:type="paragraph" w:customStyle="1" w:styleId="82">
    <w:name w:val="h标题1.1"/>
    <w:basedOn w:val="4"/>
    <w:qFormat/>
    <w:uiPriority w:val="0"/>
    <w:pPr>
      <w:keepLines/>
      <w:numPr>
        <w:ilvl w:val="1"/>
        <w:numId w:val="2"/>
      </w:numPr>
      <w:tabs>
        <w:tab w:val="clear" w:pos="1320"/>
      </w:tabs>
      <w:spacing w:before="180" w:after="180"/>
      <w:ind w:left="992" w:leftChars="0" w:firstLine="0" w:firstLineChars="0"/>
      <w:jc w:val="both"/>
    </w:pPr>
    <w:rPr>
      <w:rFonts w:ascii="黑体" w:hAnsi="Calibri" w:eastAsia="黑体" w:cs="黑体"/>
      <w:bCs/>
      <w:sz w:val="30"/>
      <w:szCs w:val="30"/>
    </w:rPr>
  </w:style>
  <w:style w:type="paragraph" w:customStyle="1" w:styleId="83">
    <w:name w:val="编号—列表"/>
    <w:basedOn w:val="1"/>
    <w:next w:val="1"/>
    <w:qFormat/>
    <w:uiPriority w:val="99"/>
    <w:pPr>
      <w:spacing w:line="500" w:lineRule="exact"/>
      <w:ind w:firstLine="0" w:firstLineChars="0"/>
      <w:jc w:val="center"/>
    </w:pPr>
    <w:rPr>
      <w:rFonts w:eastAsia="宋体"/>
      <w:color w:val="000000"/>
      <w:kern w:val="0"/>
      <w:sz w:val="18"/>
      <w:szCs w:val="18"/>
      <w:u w:color="000000"/>
    </w:rPr>
  </w:style>
  <w:style w:type="paragraph" w:customStyle="1" w:styleId="84">
    <w:name w:val="样式1"/>
    <w:basedOn w:val="1"/>
    <w:qFormat/>
    <w:uiPriority w:val="0"/>
    <w:pPr>
      <w:widowControl/>
      <w:autoSpaceDE w:val="0"/>
      <w:autoSpaceDN w:val="0"/>
      <w:adjustRightInd w:val="0"/>
      <w:spacing w:line="300" w:lineRule="auto"/>
      <w:ind w:firstLine="0" w:firstLineChars="0"/>
      <w:jc w:val="both"/>
      <w:textAlignment w:val="bottom"/>
    </w:pPr>
    <w:rPr>
      <w:rFonts w:ascii="宋体" w:eastAsia="宋体"/>
      <w:kern w:val="0"/>
      <w:sz w:val="24"/>
    </w:rPr>
  </w:style>
  <w:style w:type="paragraph" w:customStyle="1" w:styleId="85">
    <w:name w:val="sun"/>
    <w:basedOn w:val="1"/>
    <w:qFormat/>
    <w:uiPriority w:val="0"/>
    <w:pPr>
      <w:adjustRightInd w:val="0"/>
      <w:ind w:firstLine="567" w:firstLineChars="0"/>
      <w:jc w:val="both"/>
      <w:textAlignment w:val="baseline"/>
    </w:pPr>
    <w:rPr>
      <w:rFonts w:eastAsia="宋体"/>
      <w:kern w:val="28"/>
      <w:sz w:val="24"/>
    </w:rPr>
  </w:style>
  <w:style w:type="paragraph" w:customStyle="1" w:styleId="86">
    <w:name w:val="Char1"/>
    <w:basedOn w:val="1"/>
    <w:qFormat/>
    <w:uiPriority w:val="0"/>
    <w:pPr>
      <w:ind w:firstLine="0" w:firstLineChars="0"/>
      <w:jc w:val="both"/>
    </w:pPr>
    <w:rPr>
      <w:rFonts w:eastAsia="仿宋"/>
      <w:u w:color="000000"/>
    </w:rPr>
  </w:style>
  <w:style w:type="table" w:customStyle="1" w:styleId="87">
    <w:name w:val="网格型 11"/>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88">
    <w:name w:val="网格型 71"/>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89">
    <w:name w:val="Char Char Char"/>
    <w:basedOn w:val="1"/>
    <w:qFormat/>
    <w:uiPriority w:val="0"/>
    <w:pPr>
      <w:spacing w:line="240" w:lineRule="auto"/>
      <w:ind w:firstLine="0" w:firstLineChars="0"/>
      <w:jc w:val="both"/>
    </w:pPr>
    <w:rPr>
      <w:rFonts w:eastAsia="宋体"/>
      <w:sz w:val="24"/>
      <w:szCs w:val="24"/>
      <w:u w:color="000000"/>
    </w:rPr>
  </w:style>
  <w:style w:type="paragraph" w:styleId="90">
    <w:name w:val="List Paragraph"/>
    <w:basedOn w:val="1"/>
    <w:qFormat/>
    <w:uiPriority w:val="99"/>
    <w:pPr>
      <w:ind w:firstLine="420"/>
      <w:jc w:val="both"/>
    </w:pPr>
    <w:rPr>
      <w:rFonts w:eastAsia="仿宋"/>
      <w:color w:val="000000"/>
      <w:kern w:val="0"/>
      <w:szCs w:val="21"/>
      <w:u w:color="000000"/>
    </w:rPr>
  </w:style>
  <w:style w:type="character" w:styleId="91">
    <w:name w:val="Placeholder Text"/>
    <w:unhideWhenUsed/>
    <w:qFormat/>
    <w:uiPriority w:val="99"/>
    <w:rPr>
      <w:color w:val="808080"/>
    </w:rPr>
  </w:style>
  <w:style w:type="table" w:customStyle="1" w:styleId="92">
    <w:name w:val="网格型 12"/>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3">
    <w:name w:val="表格主题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 72"/>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6">
    <w:name w:val="网格型 13"/>
    <w:basedOn w:val="37"/>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97">
    <w:name w:val="表格主题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
    <w:basedOn w:val="3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 73"/>
    <w:basedOn w:val="37"/>
    <w:qFormat/>
    <w:uiPriority w:val="0"/>
    <w:pPr>
      <w:widowControl w:val="0"/>
      <w:jc w:val="both"/>
    </w:pPr>
    <w:rPr>
      <w:rFonts w:ascii="Times New Roman" w:hAnsi="Times New Roman"/>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5649</Words>
  <Characters>32202</Characters>
  <Lines>268</Lines>
  <Paragraphs>75</Paragraphs>
  <TotalTime>206</TotalTime>
  <ScaleCrop>false</ScaleCrop>
  <LinksUpToDate>false</LinksUpToDate>
  <CharactersWithSpaces>37776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2020-03-18T15:57:00Z</dcterms:created>
  <dc:creator>ZD</dc:creator>
  <cp:lastModifiedBy>user</cp:lastModifiedBy>
  <cp:lastPrinted>2021-11-16T10:46:00Z</cp:lastPrinted>
  <dcterms:modified xsi:type="dcterms:W3CDTF">2023-10-19T10:14:38Z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