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w:t>为了与临河区城镇基准地价成果进行衔接，保持公示地价成果的延续性，部分数据沿用《巴彦淖尔市临河城区土地定级与基准地价更新技术报告》中的数据</w:t>
      </w:r>
      <w:r>
        <w:rPr>
          <w:rFonts w:hint="eastAsia"/>
          <w:lang w:eastAsia="zh-CN"/>
        </w:rPr>
        <w:t>。</w:t>
      </w:r>
      <w:r>
        <w:t>巴彦淖尔市临河区现行城镇基准地价定级范围为临河中心城区、双河区、开发区，共315.98平方公里。</w:t>
      </w:r>
    </w:p>
    <w:p>
      <w:pPr>
        <w:bidi w:val="0"/>
      </w:pPr>
      <w:r>
        <w:t>（1）评估基准日：2021年1月1日；</w:t>
      </w:r>
    </w:p>
    <w:p>
      <w:pPr>
        <w:bidi w:val="0"/>
      </w:pPr>
      <w:r>
        <w:t>（2）权利状况：国有出让土地使用权；</w:t>
      </w:r>
    </w:p>
    <w:p>
      <w:pPr>
        <w:bidi w:val="0"/>
      </w:pPr>
      <w:r>
        <w:t>（3）土地使用年期：按法定最高出让年限设定，即商服用地40年、住宅70年、工业用地50年；</w:t>
      </w:r>
    </w:p>
    <w:p>
      <w:pPr>
        <w:bidi w:val="0"/>
      </w:pPr>
      <w:r>
        <w:t>（4）土地开发程度：商服、住宅用地“七通一平”（宗地红线外通路、通电、通讯、通上水、通下水、通暖、通气和宗地内场地平整），工业用地“五通一平” （宗地红线外通路、通电、通讯、通上水、通下水和宗地内场地平整）。</w:t>
      </w:r>
    </w:p>
    <w:p>
      <w:pPr>
        <w:bidi w:val="0"/>
      </w:pPr>
      <w:r>
        <w:t>（5）容积率：根据测算确定各用途平均容积率，商服2.0、住宅2.0、工业用地0.8；</w:t>
      </w:r>
    </w:p>
    <w:p>
      <w:pPr>
        <w:bidi w:val="0"/>
      </w:pPr>
      <w:r>
        <w:t>（6）其他条件为宗地地价修正系数表中的“一般”条件。</w:t>
      </w:r>
    </w:p>
    <w:p>
      <w:pPr>
        <w:numPr>
          <w:ilvl w:val="0"/>
          <w:numId w:val="1"/>
        </w:numPr>
        <w:spacing w:after="0" w:line="600" w:lineRule="exact"/>
        <w:jc w:val="both"/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  <w:t>商服用地标定地价修正体系</w:t>
      </w:r>
    </w:p>
    <w:tbl>
      <w:tblPr>
        <w:tblStyle w:val="8"/>
        <w:tblpPr w:leftFromText="180" w:rightFromText="180" w:vertAnchor="text" w:horzAnchor="page" w:tblpX="1281" w:tblpY="663"/>
        <w:tblOverlap w:val="never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119"/>
        <w:gridCol w:w="1120"/>
        <w:gridCol w:w="1120"/>
        <w:gridCol w:w="1120"/>
        <w:gridCol w:w="1120"/>
        <w:gridCol w:w="1120"/>
        <w:gridCol w:w="1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97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交易期日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2017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2021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2022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97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0.7945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0.8114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0.8368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0.9289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0.9660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0.9980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</w:tr>
    </w:tbl>
    <w:p>
      <w:pPr>
        <w:tabs>
          <w:tab w:val="left" w:pos="789"/>
        </w:tabs>
        <w:spacing w:before="1" w:after="3"/>
        <w:ind w:left="0" w:right="8" w:firstLine="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  商服用地交易期日修正系数表</w:t>
      </w:r>
    </w:p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sectPr>
          <w:pgSz w:w="11906" w:h="16838"/>
          <w:pgMar w:top="1304" w:right="1304" w:bottom="1304" w:left="1304" w:header="709" w:footer="709" w:gutter="0"/>
          <w:cols w:space="708" w:num="1"/>
          <w:docGrid w:linePitch="360" w:charSpace="0"/>
        </w:sectPr>
      </w:pPr>
    </w:p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表2  商服用地使用年期修正系数表</w:t>
      </w:r>
    </w:p>
    <w:tbl>
      <w:tblPr>
        <w:tblStyle w:val="8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287"/>
        <w:gridCol w:w="1287"/>
        <w:gridCol w:w="1287"/>
        <w:gridCol w:w="1287"/>
        <w:gridCol w:w="1288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剩余年期（年）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5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0.0709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0.1370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0.1988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0.2564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0.3103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0.4075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0.4514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0.4923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0.5305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0.5662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0.6306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0.6597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0.6868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0.7121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0.7357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0.7784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0.7977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0.8157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0.8324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0.8481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</w:tr>
      <w:tr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0.8764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0.8891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0.9122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0.9225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</w:tr>
      <w:tr>
        <w:trPr>
          <w:trHeight w:val="342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0.9413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0.9497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0.9576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0.9650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0.9719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剩余年期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rPr>
          <w:trHeight w:val="342" w:hRule="atLeast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0.9899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</w:tbl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表3  商服用地宗地临街状况修正体系</w:t>
      </w:r>
    </w:p>
    <w:tbl>
      <w:tblPr>
        <w:tblStyle w:val="8"/>
        <w:tblW w:w="500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582"/>
        <w:gridCol w:w="1580"/>
        <w:gridCol w:w="1580"/>
        <w:gridCol w:w="1582"/>
        <w:gridCol w:w="158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8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指标标准说明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街角地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两面临街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一面临街，距侧街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30米内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一面临街，距侧街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30米外</w:t>
            </w:r>
          </w:p>
        </w:tc>
        <w:tc>
          <w:tcPr>
            <w:tcW w:w="8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不临街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1.060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1.030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8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0.970</w:t>
            </w:r>
          </w:p>
        </w:tc>
        <w:tc>
          <w:tcPr>
            <w:tcW w:w="8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0.940</w:t>
            </w:r>
          </w:p>
        </w:tc>
      </w:tr>
    </w:tbl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表4  商服用地宗地面积状况修正体系</w:t>
      </w:r>
    </w:p>
    <w:tbl>
      <w:tblPr>
        <w:tblStyle w:val="8"/>
        <w:tblW w:w="5010" w:type="pct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605"/>
        <w:gridCol w:w="1608"/>
        <w:gridCol w:w="1605"/>
        <w:gridCol w:w="1608"/>
        <w:gridCol w:w="160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面积适中，对土地利用极为有利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面积对土地利用较为有利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面积对土地利用无不良影响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面积较小，对土地利用有一定影响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面积较小，对土地利用产生严重影响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1.030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1.015</w:t>
            </w:r>
          </w:p>
        </w:tc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.000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0.970</w:t>
            </w:r>
          </w:p>
        </w:tc>
      </w:tr>
    </w:tbl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表5  商服用地宗地形状状况修正体系</w:t>
      </w:r>
    </w:p>
    <w:tbl>
      <w:tblPr>
        <w:tblStyle w:val="8"/>
        <w:tblW w:w="5000" w:type="pct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602"/>
        <w:gridCol w:w="1605"/>
        <w:gridCol w:w="1602"/>
        <w:gridCol w:w="1605"/>
        <w:gridCol w:w="160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形状规则，对土地利用合理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土地利用较为合理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土地利用无不良影响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形状不规则，对土地利用不合理</w:t>
            </w:r>
          </w:p>
        </w:tc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形状不规则，对土地利用产生严重的影响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1.040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1.020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.000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0.980</w:t>
            </w:r>
          </w:p>
        </w:tc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0.960</w:t>
            </w:r>
          </w:p>
        </w:tc>
      </w:tr>
    </w:tbl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sectPr>
          <w:pgSz w:w="11906" w:h="16838"/>
          <w:pgMar w:top="1304" w:right="1304" w:bottom="1304" w:left="1304" w:header="709" w:footer="709" w:gutter="0"/>
          <w:cols w:space="708" w:num="1"/>
          <w:docGrid w:linePitch="360" w:charSpace="0"/>
        </w:sectPr>
      </w:pPr>
    </w:p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表6  商服用地容积率修正系数表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≤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.6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0.6484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0.686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0.723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0.7595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0.7955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0.8309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0.8658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0.934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0.9673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1.0322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1.0639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1.095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1.1256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1.1852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1.2142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1.2426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1.2705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1.2979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1.3248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1.3511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1.4021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1.4268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1.4509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1.4745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1.4976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1.5202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1.5422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1.5846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1.605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1.6249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1.6442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1.663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1.6813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1.699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1.7328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1.7489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1.7645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1.7796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1.7941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1.8215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1.8467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1.8585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1.8698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1.8806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1.8908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1.9004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1.9096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1.9264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1.9338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1.9408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1.9472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1.9531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1.9585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1.9634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≥8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1.9715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1.9747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1.9774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1.9796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1.9812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1.9823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1.9828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</w:tr>
    </w:tbl>
    <w:p>
      <w:pPr>
        <w:spacing w:after="0" w:line="600" w:lineRule="exact"/>
        <w:ind w:firstLine="422" w:firstLineChars="20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表7  商服用地基础设施配套程度开发费用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right"/>
        <w:textAlignment w:val="auto"/>
        <w:rPr>
          <w:rFonts w:hint="eastAsia" w:ascii="Times New Roman" w:hAnsi="Times New Roman" w:eastAsia="宋体"/>
          <w:b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/>
          <w:b/>
          <w:sz w:val="20"/>
          <w:szCs w:val="20"/>
          <w:lang w:val="en-US" w:eastAsia="zh-CN"/>
        </w:rPr>
        <w:t>单位：元/m</w:t>
      </w:r>
      <w:r>
        <w:rPr>
          <w:rFonts w:hint="eastAsia" w:ascii="Times New Roman" w:hAnsi="Times New Roman" w:eastAsia="宋体"/>
          <w:b/>
          <w:sz w:val="20"/>
          <w:szCs w:val="20"/>
          <w:vertAlign w:val="superscript"/>
          <w:lang w:val="en-US" w:eastAsia="zh-CN"/>
        </w:rPr>
        <w:t>2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69"/>
        <w:gridCol w:w="931"/>
        <w:gridCol w:w="967"/>
        <w:gridCol w:w="1004"/>
        <w:gridCol w:w="1057"/>
        <w:gridCol w:w="1059"/>
        <w:gridCol w:w="125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基础设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施状况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通路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通电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通讯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通上水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通下水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通暖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通燃气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平整土地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开发费用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5-10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20-30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15-25</w:t>
            </w:r>
          </w:p>
        </w:tc>
      </w:tr>
    </w:tbl>
    <w:p>
      <w:pPr>
        <w:numPr>
          <w:ilvl w:val="0"/>
          <w:numId w:val="1"/>
        </w:numPr>
        <w:spacing w:after="0" w:line="600" w:lineRule="exact"/>
        <w:jc w:val="both"/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  <w:t>住宅用地标定地价修正体系</w:t>
      </w:r>
    </w:p>
    <w:p>
      <w:pPr>
        <w:widowControl/>
        <w:spacing w:before="120" w:beforeLines="50"/>
        <w:jc w:val="center"/>
        <w:rPr>
          <w:rFonts w:hint="eastAsia" w:eastAsia="仿宋"/>
          <w:b/>
          <w:bCs/>
          <w:color w:val="000000"/>
          <w:sz w:val="22"/>
          <w:szCs w:val="22"/>
        </w:rPr>
        <w:sectPr>
          <w:pgSz w:w="11906" w:h="16838"/>
          <w:pgMar w:top="1304" w:right="1304" w:bottom="1304" w:left="1304" w:header="709" w:footer="709" w:gutter="0"/>
          <w:cols w:space="708" w:num="1"/>
          <w:docGrid w:linePitch="360" w:charSpace="0"/>
        </w:sectPr>
      </w:pPr>
    </w:p>
    <w:p>
      <w:pPr>
        <w:tabs>
          <w:tab w:val="left" w:pos="789"/>
        </w:tabs>
        <w:spacing w:before="183" w:after="3"/>
        <w:ind w:left="0" w:right="8" w:firstLine="0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表8 住宅用地交易期日修正系数表</w:t>
      </w:r>
    </w:p>
    <w:tbl>
      <w:tblPr>
        <w:tblStyle w:val="8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998"/>
        <w:gridCol w:w="998"/>
        <w:gridCol w:w="998"/>
        <w:gridCol w:w="998"/>
        <w:gridCol w:w="998"/>
        <w:gridCol w:w="998"/>
        <w:gridCol w:w="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96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交易期日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2017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2021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2022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96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0.7945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0.8114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0.8368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0.9289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0.9660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1.0560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表9  住宅用地使用年期修正系数表</w:t>
      </w:r>
    </w:p>
    <w:tbl>
      <w:tblPr>
        <w:tblStyle w:val="8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31"/>
        <w:gridCol w:w="1135"/>
        <w:gridCol w:w="1135"/>
        <w:gridCol w:w="1135"/>
        <w:gridCol w:w="1135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5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0.0583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0.1132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0.1649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0.2137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0.2597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0.3440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0.3825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0.4188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0.4531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0.4854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0.5445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0.5715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0.5970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0.6210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0.6437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0.6852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0.7042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0.7221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0.7389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0.7548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0.7839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0.7973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0.8098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0.8217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0.8328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0.8532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0.8626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0.8714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0.8797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0.8875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</w:tr>
      <w:tr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0.9019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0.9084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0.9146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0.9204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0.9259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0.9360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0.9529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0.9718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0.9768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0.9790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0.9812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0.9832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0.9851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66</w:t>
            </w:r>
          </w:p>
        </w:tc>
      </w:tr>
      <w:tr>
        <w:trPr>
          <w:trHeight w:val="358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0.9944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rPr>
          <w:trHeight w:val="395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表10  住宅用地宗地面积状况修正体系</w:t>
      </w:r>
    </w:p>
    <w:tbl>
      <w:tblPr>
        <w:tblStyle w:val="8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3"/>
        <w:gridCol w:w="1439"/>
        <w:gridCol w:w="1439"/>
        <w:gridCol w:w="14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面积适中，对土地利用极为有利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面积对土地利用较为有利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面积对土地利用无不良影响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面积较小，对土地利用有一定影响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面积较小，对土地利用产生严重影响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1.060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表11  住宅用地宗地形状状况修正体系</w:t>
      </w:r>
    </w:p>
    <w:tbl>
      <w:tblPr>
        <w:tblStyle w:val="8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3"/>
        <w:gridCol w:w="1439"/>
        <w:gridCol w:w="1439"/>
        <w:gridCol w:w="14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形状规则，对土地利用合理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土地利用较为合理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土地利用无不良影响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形状不规则，对土地利用不合理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形状不规则，对土地利用产生严重的影响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1.060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1.030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表12  住宅用地建筑物朝向修正体系</w:t>
      </w:r>
    </w:p>
    <w:tbl>
      <w:tblPr>
        <w:tblStyle w:val="8"/>
        <w:tblW w:w="500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669"/>
        <w:gridCol w:w="1669"/>
        <w:gridCol w:w="1669"/>
        <w:gridCol w:w="16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指标标准说明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南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东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西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1.020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0.980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表13   住宅用地容积率修正系数表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24"/>
        <w:gridCol w:w="925"/>
        <w:gridCol w:w="925"/>
        <w:gridCol w:w="925"/>
        <w:gridCol w:w="925"/>
        <w:gridCol w:w="925"/>
        <w:gridCol w:w="927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≤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0.6155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0.6564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0.6968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0.7366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0.7759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0.8146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0.8528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0.9275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1.0354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1.0703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1.1046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1.1384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1.1716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1.2043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1.2364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1.268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1.299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1.3295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1.3594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1.3888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1.4459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1.4736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1.5008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1.5274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1.5535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1.579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1.604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1.6523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1.6756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1.6984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1.7206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1.7423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1.7634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1.784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1.8235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1.8424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1.8608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1.8786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1.8959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1.9126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1.9288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1.9444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1.9595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1.974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1.988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2.0014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2.0143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2.0266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2.0384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2.0496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2.0603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2.0704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2.089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2.0975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2.1054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2.1128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容积率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≥8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2.1259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2.1316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2.1368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2.1414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2.1455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2.149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2.1520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表14   基础设施配套程度修正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             单位：元/m</w:t>
      </w:r>
      <w:r>
        <w:rPr>
          <w:rFonts w:hint="eastAsia" w:ascii="Times New Roman" w:hAnsi="Times New Roman" w:eastAsia="宋体"/>
          <w:b/>
          <w:sz w:val="21"/>
          <w:szCs w:val="21"/>
          <w:vertAlign w:val="superscript"/>
          <w:lang w:val="en-US" w:eastAsia="zh-CN"/>
        </w:rPr>
        <w:t>2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"/>
        <w:gridCol w:w="834"/>
        <w:gridCol w:w="867"/>
        <w:gridCol w:w="899"/>
        <w:gridCol w:w="947"/>
        <w:gridCol w:w="948"/>
        <w:gridCol w:w="1124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基础设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施状况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通路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通电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通讯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通上水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通下水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通暖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通燃气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平整土地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开发费用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5-10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20-30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15-25</w:t>
            </w:r>
          </w:p>
        </w:tc>
      </w:tr>
    </w:tbl>
    <w:p>
      <w:pPr>
        <w:numPr>
          <w:ilvl w:val="0"/>
          <w:numId w:val="1"/>
        </w:numPr>
        <w:spacing w:after="0" w:line="600" w:lineRule="exact"/>
        <w:jc w:val="both"/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b/>
          <w:spacing w:val="-13"/>
          <w:sz w:val="28"/>
          <w:szCs w:val="28"/>
          <w:lang w:val="en-US" w:eastAsia="zh-CN"/>
        </w:rPr>
        <w:t>工业用地标定地价修正体系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表15 工业用地交易期日修正系数表</w:t>
      </w:r>
    </w:p>
    <w:tbl>
      <w:tblPr>
        <w:tblStyle w:val="8"/>
        <w:tblW w:w="49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997"/>
        <w:gridCol w:w="997"/>
        <w:gridCol w:w="998"/>
        <w:gridCol w:w="998"/>
        <w:gridCol w:w="998"/>
        <w:gridCol w:w="998"/>
        <w:gridCol w:w="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97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交易期日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2017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2019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2021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2022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97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0.7945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0.8114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0.8368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0.9289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0.9660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1.0311</w:t>
            </w:r>
          </w:p>
        </w:tc>
        <w:tc>
          <w:tcPr>
            <w:tcW w:w="600" w:type="pct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表16  工业用地使用年期修正系数表</w:t>
      </w:r>
    </w:p>
    <w:tbl>
      <w:tblPr>
        <w:tblStyle w:val="8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46"/>
        <w:gridCol w:w="1146"/>
        <w:gridCol w:w="1146"/>
        <w:gridCol w:w="1146"/>
        <w:gridCol w:w="1146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5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0.0496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0.0970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0.1423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0.1856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0.2269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0.2664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0.3042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0.3403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0.3747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0.4077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0.4391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</w:tr>
      <w:tr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0.4979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0.5253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0.5516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0.5766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0.6006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</w:tr>
      <w:tr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0.6453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0.6662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0.6861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0.7052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0.7234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</w:tr>
      <w:tr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0.7574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0.7733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0.7885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0.8030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0.8169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</w:tr>
      <w:tr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0.8428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0.8549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0.8664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0.8774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0.8880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0.8981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</w:tr>
      <w:tr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0.9077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0.9169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0.9257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0.9341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0.9421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</w:tr>
      <w:tr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0.9571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0.9641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0.9708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0.9772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0.9833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使用年期（年）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rPr>
          <w:trHeight w:val="336" w:hRule="atLeast"/>
        </w:trPr>
        <w:tc>
          <w:tcPr>
            <w:tcW w:w="9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0.9947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1.0000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bookmarkStart w:id="0" w:name="_Toc410828153"/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表17  工业用地宗地面积状况修正体系</w:t>
      </w:r>
    </w:p>
    <w:tbl>
      <w:tblPr>
        <w:tblStyle w:val="8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3"/>
        <w:gridCol w:w="1439"/>
        <w:gridCol w:w="1439"/>
        <w:gridCol w:w="14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面积适中，对土地利用极为有利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面积对土地利用较为有利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面积对土地利用无不良影响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面积较小，对土地利用有一定影响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面积较小，对土地利用产生严重影响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1.060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1.030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0.980</w:t>
            </w:r>
          </w:p>
        </w:tc>
        <w:tc>
          <w:tcPr>
            <w:tcW w:w="8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表18  工业用地宗地形状状况修正体系</w:t>
      </w:r>
    </w:p>
    <w:tbl>
      <w:tblPr>
        <w:tblStyle w:val="8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3"/>
        <w:gridCol w:w="1439"/>
        <w:gridCol w:w="1439"/>
        <w:gridCol w:w="14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指标标准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优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较优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一般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较劣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指标标</w:t>
            </w:r>
          </w:p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准说明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形状规则，对土地利用合理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土地利用较为合理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土地利用无不良影响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形状不规则，对土地利用不合理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形状不规则，对土地利用产生严重的影响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修正系数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1.040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1.020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1.000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0.985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0.970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表19   基础设施配套程度修正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/>
          <w:b/>
          <w:sz w:val="20"/>
          <w:szCs w:val="20"/>
          <w:lang w:val="en-US" w:eastAsia="zh-CN"/>
        </w:rPr>
        <w:t>单位：元/m</w:t>
      </w:r>
      <w:r>
        <w:rPr>
          <w:rFonts w:hint="eastAsia" w:ascii="Times New Roman" w:hAnsi="Times New Roman" w:eastAsia="宋体"/>
          <w:b/>
          <w:sz w:val="20"/>
          <w:szCs w:val="20"/>
          <w:vertAlign w:val="superscript"/>
          <w:lang w:val="en-US" w:eastAsia="zh-CN"/>
        </w:rPr>
        <w:t>2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"/>
        <w:gridCol w:w="834"/>
        <w:gridCol w:w="867"/>
        <w:gridCol w:w="899"/>
        <w:gridCol w:w="947"/>
        <w:gridCol w:w="948"/>
        <w:gridCol w:w="1124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基础设施状况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通路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通电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通讯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通上水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通下水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通暖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通燃气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平整土地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6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  <w:t>开发费用</w:t>
            </w:r>
          </w:p>
        </w:tc>
        <w:tc>
          <w:tcPr>
            <w:tcW w:w="404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5-10</w:t>
            </w:r>
          </w:p>
        </w:tc>
        <w:tc>
          <w:tcPr>
            <w:tcW w:w="527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20-30</w:t>
            </w:r>
          </w:p>
        </w:tc>
        <w:tc>
          <w:tcPr>
            <w:tcW w:w="556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30-40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10-20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after="0"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15-25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E3367"/>
    <w:multiLevelType w:val="singleLevel"/>
    <w:tmpl w:val="30FE3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ZWE5ZjFmNmFiYzUwOTFmZDc1NzEwNmYzYjI3OTQifQ=="/>
    <w:docVar w:name="KSO_WPS_MARK_KEY" w:val="67665e61-15d7-4138-b998-3c5b98f8be33"/>
  </w:docVars>
  <w:rsids>
    <w:rsidRoot w:val="0BD7125B"/>
    <w:rsid w:val="038B6223"/>
    <w:rsid w:val="0681169B"/>
    <w:rsid w:val="0A2A65E9"/>
    <w:rsid w:val="0A2B3463"/>
    <w:rsid w:val="0BD7125B"/>
    <w:rsid w:val="102B693F"/>
    <w:rsid w:val="1E943B47"/>
    <w:rsid w:val="29B53335"/>
    <w:rsid w:val="2C4C1E9A"/>
    <w:rsid w:val="3639699D"/>
    <w:rsid w:val="399724F9"/>
    <w:rsid w:val="49B64050"/>
    <w:rsid w:val="4CBA7788"/>
    <w:rsid w:val="4CFB75C0"/>
    <w:rsid w:val="4FA534B1"/>
    <w:rsid w:val="52D258EE"/>
    <w:rsid w:val="56DF64DA"/>
    <w:rsid w:val="599D442F"/>
    <w:rsid w:val="5AC25940"/>
    <w:rsid w:val="5C973ECF"/>
    <w:rsid w:val="5CC74453"/>
    <w:rsid w:val="5E7E4F5E"/>
    <w:rsid w:val="6408642D"/>
    <w:rsid w:val="67E7123A"/>
    <w:rsid w:val="68FB5BB0"/>
    <w:rsid w:val="6B074E7F"/>
    <w:rsid w:val="7C5C1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440" w:firstLineChars="200"/>
    </w:pPr>
    <w:rPr>
      <w:rFonts w:ascii="Tahoma" w:hAnsi="Tahoma" w:eastAsia="楷体_GB2312" w:cs="Times New Roman"/>
      <w:kern w:val="0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160" w:after="70" w:line="360" w:lineRule="auto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30" w:after="20" w:line="360" w:lineRule="auto"/>
      <w:ind w:firstLine="200" w:firstLineChars="20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360" w:lineRule="auto"/>
      <w:outlineLvl w:val="3"/>
    </w:pPr>
    <w:rPr>
      <w:rFonts w:ascii="Arial" w:hAnsi="Arial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center"/>
    </w:pPr>
    <w:rPr>
      <w:szCs w:val="28"/>
    </w:rPr>
  </w:style>
  <w:style w:type="paragraph" w:styleId="6">
    <w:name w:val="Plain Text"/>
    <w:basedOn w:val="1"/>
    <w:qFormat/>
    <w:uiPriority w:val="99"/>
    <w:pPr>
      <w:spacing w:line="240" w:lineRule="auto"/>
      <w:ind w:firstLine="0" w:firstLineChars="0"/>
    </w:pPr>
    <w:rPr>
      <w:rFonts w:ascii="宋体" w:hAnsi="Courier New"/>
      <w:spacing w:val="0"/>
      <w:szCs w:val="20"/>
    </w:r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3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2">
    <w:name w:val="标题 2 Char"/>
    <w:basedOn w:val="10"/>
    <w:link w:val="4"/>
    <w:qFormat/>
    <w:uiPriority w:val="0"/>
    <w:rPr>
      <w:rFonts w:ascii="Arial" w:hAnsi="Arial" w:eastAsia="楷体_GB2312"/>
      <w:b/>
      <w:bCs/>
      <w:kern w:val="2"/>
      <w:sz w:val="32"/>
      <w:szCs w:val="32"/>
    </w:rPr>
  </w:style>
  <w:style w:type="paragraph" w:customStyle="1" w:styleId="13">
    <w:name w:val="Table Paragraph"/>
    <w:basedOn w:val="1"/>
    <w:qFormat/>
    <w:uiPriority w:val="1"/>
    <w:pPr>
      <w:spacing w:before="83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2532</Words>
  <Characters>4884</Characters>
  <Lines>0</Lines>
  <Paragraphs>0</Paragraphs>
  <TotalTime>1</TotalTime>
  <ScaleCrop>false</ScaleCrop>
  <LinksUpToDate>false</LinksUpToDate>
  <CharactersWithSpaces>4949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2022-03-10T02:20:00Z</dcterms:created>
  <dc:creator>ミ萵のscener灬y</dc:creator>
  <cp:lastModifiedBy>刘婷</cp:lastModifiedBy>
  <dcterms:modified xsi:type="dcterms:W3CDTF">2023-03-29T01:39:53Z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982FE272BDA74BB98D0477B7B02E9FD2</vt:lpwstr>
  </property>
</Properties>
</file>