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4"/>
        <w:rPr>
          <w:rFonts w:hint="eastAsia" w:ascii="仿宋_GB2312" w:hAnsi="仿宋_GB2312" w:eastAsia="仿宋_GB2312" w:cs="仿宋_GB2312"/>
        </w:rPr>
      </w:pPr>
    </w:p>
    <w:p>
      <w:pPr>
        <w:ind w:left="444" w:firstLine="444"/>
        <w:jc w:val="center"/>
        <w:rPr>
          <w:rFonts w:hint="eastAsia" w:ascii="仿宋_GB2312" w:hAnsi="仿宋_GB2312" w:eastAsia="仿宋_GB2312" w:cs="仿宋_GB2312"/>
        </w:rPr>
      </w:pPr>
    </w:p>
    <w:p>
      <w:pPr>
        <w:ind w:left="444" w:firstLine="444"/>
        <w:rPr>
          <w:rFonts w:hint="eastAsia" w:ascii="仿宋_GB2312" w:hAnsi="仿宋_GB2312" w:eastAsia="仿宋_GB2312" w:cs="仿宋_GB2312"/>
        </w:rPr>
      </w:pPr>
    </w:p>
    <w:p>
      <w:pPr>
        <w:ind w:left="444" w:firstLine="444"/>
        <w:rPr>
          <w:rFonts w:hint="eastAsia" w:ascii="仿宋_GB2312" w:hAnsi="仿宋_GB2312" w:eastAsia="仿宋_GB2312" w:cs="仿宋_GB2312"/>
        </w:rPr>
      </w:pPr>
    </w:p>
    <w:p>
      <w:pPr>
        <w:ind w:firstLine="0" w:firstLineChars="0"/>
        <w:jc w:val="center"/>
        <w:rPr>
          <w:rFonts w:hint="eastAsia" w:ascii="仿宋_GB2312" w:hAnsi="仿宋_GB2312" w:eastAsia="仿宋_GB2312" w:cs="仿宋_GB2312"/>
          <w:b/>
          <w:spacing w:val="60"/>
          <w:sz w:val="48"/>
          <w:szCs w:val="48"/>
        </w:rPr>
      </w:pPr>
      <w:r>
        <w:rPr>
          <w:rFonts w:hint="eastAsia" w:ascii="仿宋_GB2312" w:hAnsi="仿宋_GB2312" w:eastAsia="仿宋_GB2312" w:cs="仿宋_GB2312"/>
          <w:b/>
          <w:spacing w:val="60"/>
          <w:sz w:val="48"/>
          <w:szCs w:val="48"/>
        </w:rPr>
        <w:t>巴彦淖尔市临河区新华镇</w:t>
      </w:r>
    </w:p>
    <w:p>
      <w:pPr>
        <w:ind w:firstLine="0" w:firstLineChars="0"/>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土地定级与基准地价更新成果报告</w:t>
      </w:r>
    </w:p>
    <w:p>
      <w:pPr>
        <w:spacing w:line="480" w:lineRule="auto"/>
        <w:ind w:firstLine="0" w:firstLineChars="0"/>
        <w:jc w:val="center"/>
        <w:rPr>
          <w:rFonts w:hint="eastAsia" w:ascii="仿宋_GB2312" w:hAnsi="仿宋_GB2312" w:eastAsia="仿宋_GB2312" w:cs="仿宋_GB2312"/>
          <w:b/>
          <w:bCs/>
          <w:sz w:val="48"/>
          <w:szCs w:val="48"/>
        </w:rPr>
      </w:pPr>
    </w:p>
    <w:p>
      <w:pPr>
        <w:spacing w:line="480" w:lineRule="auto"/>
        <w:ind w:firstLine="0" w:firstLineChars="0"/>
        <w:jc w:val="center"/>
        <w:rPr>
          <w:rFonts w:hint="eastAsia" w:ascii="仿宋_GB2312" w:hAnsi="仿宋_GB2312" w:eastAsia="仿宋_GB2312" w:cs="仿宋_GB2312"/>
          <w:b/>
          <w:bCs/>
          <w:sz w:val="48"/>
          <w:szCs w:val="48"/>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ind w:firstLine="0" w:firstLineChars="0"/>
        <w:rPr>
          <w:rFonts w:hint="eastAsia" w:ascii="仿宋_GB2312" w:hAnsi="仿宋_GB2312" w:eastAsia="仿宋_GB2312" w:cs="仿宋_GB2312"/>
          <w:b/>
          <w:bCs/>
          <w:sz w:val="32"/>
        </w:rPr>
      </w:pPr>
    </w:p>
    <w:p>
      <w:pPr>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巴彦淖尔市自然资源局临河区分局</w:t>
      </w:r>
    </w:p>
    <w:p>
      <w:pPr>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内蒙古科瑞房地产土地资产评估有限公司</w:t>
      </w:r>
    </w:p>
    <w:p>
      <w:pPr>
        <w:ind w:firstLine="0" w:firstLineChars="0"/>
        <w:jc w:val="center"/>
        <w:rPr>
          <w:rFonts w:hint="eastAsia" w:ascii="仿宋_GB2312" w:hAnsi="仿宋_GB2312" w:eastAsia="仿宋_GB2312" w:cs="仿宋_GB2312"/>
          <w:b/>
          <w:bCs/>
          <w:sz w:val="32"/>
        </w:rPr>
      </w:pPr>
      <w:r>
        <w:rPr>
          <w:rFonts w:hint="eastAsia" w:ascii="仿宋_GB2312" w:hAnsi="仿宋_GB2312" w:eastAsia="仿宋_GB2312" w:cs="仿宋_GB2312"/>
          <w:b/>
          <w:sz w:val="32"/>
          <w:szCs w:val="32"/>
        </w:rPr>
        <w:t>二〇二一年十二月</w:t>
      </w:r>
    </w:p>
    <w:p>
      <w:pPr>
        <w:pStyle w:val="3"/>
        <w:spacing w:before="0" w:after="0" w:line="360" w:lineRule="auto"/>
        <w:ind w:firstLine="0" w:firstLineChars="0"/>
        <w:rPr>
          <w:rFonts w:hint="eastAsia" w:ascii="仿宋_GB2312" w:hAnsi="仿宋_GB2312" w:eastAsia="仿宋_GB2312" w:cs="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录</w:t>
      </w:r>
    </w:p>
    <w:p>
      <w:pPr>
        <w:pStyle w:val="12"/>
        <w:tabs>
          <w:tab w:val="right" w:leader="dot" w:pos="8306"/>
        </w:tabs>
        <w:ind w:left="0" w:leftChars="0" w:firstLine="0" w:firstLineChars="0"/>
        <w:rPr>
          <w:rFonts w:hint="eastAsia" w:ascii="仿宋_GB2312" w:hAnsi="仿宋_GB2312" w:eastAsia="仿宋_GB2312" w:cs="仿宋_GB2312"/>
          <w:b/>
          <w:bCs/>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TOC \o "1-3" \h \u </w:instrText>
      </w:r>
      <w:r>
        <w:rPr>
          <w:rFonts w:hint="eastAsia" w:ascii="仿宋_GB2312" w:hAnsi="仿宋_GB2312" w:eastAsia="仿宋_GB2312" w:cs="仿宋_GB2312"/>
        </w:rPr>
        <w:fldChar w:fldCharType="separate"/>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_Toc674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第一章</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新华镇土地定级与基准地价更新技术路线</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_Toc674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w:t>
      </w:r>
      <w:r>
        <w:rPr>
          <w:rFonts w:hint="eastAsia" w:ascii="仿宋_GB2312" w:hAnsi="仿宋_GB2312" w:eastAsia="仿宋_GB2312" w:cs="仿宋_GB2312"/>
          <w:b/>
          <w:bCs/>
        </w:rPr>
        <w:fldChar w:fldCharType="end"/>
      </w:r>
      <w:r>
        <w:rPr>
          <w:rFonts w:hint="eastAsia" w:ascii="仿宋_GB2312" w:hAnsi="仿宋_GB2312" w:eastAsia="仿宋_GB2312" w:cs="仿宋_GB2312"/>
          <w:b/>
          <w:bCs/>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_Toc4592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土地定级的技术路线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_Toc4592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_Toc18164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基准地价评估的技术路线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_Toc18164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ind w:left="0" w:leftChars="0" w:firstLine="0" w:firstLineChars="0"/>
        <w:rPr>
          <w:rFonts w:hint="eastAsia" w:ascii="仿宋_GB2312" w:hAnsi="仿宋_GB2312" w:eastAsia="仿宋_GB2312" w:cs="仿宋_GB2312"/>
          <w:b/>
          <w:bCs/>
        </w:rPr>
      </w:pP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_Toc15440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第二章  新华镇基准地价更新成果</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_Toc15440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5</w:t>
      </w:r>
      <w:r>
        <w:rPr>
          <w:rFonts w:hint="eastAsia" w:ascii="仿宋_GB2312" w:hAnsi="仿宋_GB2312" w:eastAsia="仿宋_GB2312" w:cs="仿宋_GB2312"/>
          <w:b/>
          <w:bCs/>
        </w:rPr>
        <w:fldChar w:fldCharType="end"/>
      </w:r>
      <w:r>
        <w:rPr>
          <w:rFonts w:hint="eastAsia" w:ascii="仿宋_GB2312" w:hAnsi="仿宋_GB2312" w:eastAsia="仿宋_GB2312" w:cs="仿宋_GB2312"/>
          <w:b/>
          <w:bCs/>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_Toc10102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基准地价更新成果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_Toc10102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_Toc11013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_Toc7490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一、</w:t>
      </w:r>
      <w:r>
        <w:rPr>
          <w:rFonts w:hint="eastAsia" w:ascii="仿宋_GB2312" w:hAnsi="仿宋_GB2312" w:eastAsia="仿宋_GB2312" w:cs="仿宋_GB2312"/>
        </w:rPr>
        <w:t>商服用地基准地价个别因素修正体系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_Toc7490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_Toc11263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二、</w:t>
      </w:r>
      <w:r>
        <w:rPr>
          <w:rFonts w:hint="eastAsia" w:ascii="仿宋_GB2312" w:hAnsi="仿宋_GB2312" w:eastAsia="仿宋_GB2312" w:cs="仿宋_GB2312"/>
        </w:rPr>
        <w:t>住宅用地基准地价个别因素修正体系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_Toc11263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_Toc31453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三、</w:t>
      </w:r>
      <w:r>
        <w:rPr>
          <w:rFonts w:hint="eastAsia" w:ascii="仿宋_GB2312" w:hAnsi="仿宋_GB2312" w:eastAsia="仿宋_GB2312" w:cs="仿宋_GB2312"/>
        </w:rPr>
        <w:t>工业用地基准地价个别因素修正体系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_Toc31453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_Toc23223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四、</w:t>
      </w:r>
      <w:r>
        <w:rPr>
          <w:rFonts w:hint="eastAsia" w:ascii="仿宋_GB2312" w:hAnsi="仿宋_GB2312" w:eastAsia="仿宋_GB2312" w:cs="仿宋_GB2312"/>
        </w:rPr>
        <w:t>修正系数表及因素指标说明表编制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_Toc23223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ind w:left="0" w:leftChars="0" w:firstLine="0" w:firstLineChars="0"/>
        <w:rPr>
          <w:rFonts w:hint="eastAsia" w:ascii="仿宋_GB2312" w:hAnsi="仿宋_GB2312" w:eastAsia="仿宋_GB2312" w:cs="仿宋_GB2312"/>
          <w:b/>
          <w:bCs/>
        </w:rPr>
      </w:pP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_Toc23737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第三章</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成果对比分析</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_Toc23737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26</w:t>
      </w:r>
      <w:r>
        <w:rPr>
          <w:rFonts w:hint="eastAsia" w:ascii="仿宋_GB2312" w:hAnsi="仿宋_GB2312" w:eastAsia="仿宋_GB2312" w:cs="仿宋_GB2312"/>
          <w:b/>
          <w:bCs/>
        </w:rPr>
        <w:fldChar w:fldCharType="end"/>
      </w:r>
      <w:r>
        <w:rPr>
          <w:rFonts w:hint="eastAsia" w:ascii="仿宋_GB2312" w:hAnsi="仿宋_GB2312" w:eastAsia="仿宋_GB2312" w:cs="仿宋_GB2312"/>
          <w:b/>
          <w:bCs/>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_Toc7471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成果意义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_Toc7471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_Toc18119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一、是一项重要的基础工作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_Toc18119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_Toc3522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二、有利于宏观调控土地市场，指导地产交易</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_Toc3522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_Toc8054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三、为公平合理地收取土地税费提供依据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_Toc8054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_Toc24732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四、更好地促进土地管理工作的开展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_Toc24732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_Toc31703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五、为建立土地资产台账提供基础</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_Toc31703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_Toc2517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成果的应用说明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_Toc2517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_Toc3519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一、土地定级成果的应用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_Toc3519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_Toc20867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二、基准地价成果的应用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_Toc20867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_Toc19486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三、土地定级估价信息系统应用说明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_Toc19486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ind w:firstLine="480"/>
        <w:rPr>
          <w:rFonts w:hint="eastAsia" w:ascii="仿宋_GB2312" w:hAnsi="仿宋_GB2312" w:eastAsia="仿宋_GB2312" w:cs="仿宋_GB2312"/>
          <w:b/>
          <w:bCs/>
          <w:sz w:val="32"/>
          <w:szCs w:val="32"/>
        </w:rPr>
        <w:sectPr>
          <w:pgSz w:w="11906" w:h="16838"/>
          <w:pgMar w:top="1440" w:right="1800" w:bottom="1440" w:left="1800" w:header="851" w:footer="992" w:gutter="0"/>
          <w:pgNumType w:start="1"/>
          <w:cols w:space="425" w:num="1"/>
          <w:docGrid w:type="lines" w:linePitch="312" w:charSpace="0"/>
        </w:sectPr>
      </w:pPr>
    </w:p>
    <w:p>
      <w:pPr>
        <w:pStyle w:val="3"/>
        <w:bidi w:val="0"/>
        <w:rPr>
          <w:rFonts w:hint="eastAsia" w:ascii="仿宋_GB2312" w:hAnsi="仿宋_GB2312" w:eastAsia="仿宋_GB2312" w:cs="仿宋_GB2312"/>
        </w:rPr>
      </w:pPr>
      <w:bookmarkStart w:id="0" w:name="_Toc20076"/>
      <w:bookmarkStart w:id="1" w:name="_Toc8414"/>
      <w:bookmarkStart w:id="2" w:name="_Toc674"/>
      <w:r>
        <w:rPr>
          <w:rFonts w:hint="eastAsia" w:ascii="仿宋_GB2312" w:hAnsi="仿宋_GB2312" w:eastAsia="仿宋_GB2312" w:cs="仿宋_GB2312"/>
        </w:rPr>
        <w:t>第一章</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新华镇土地定级与基准地价更新技术路线</w:t>
      </w:r>
      <w:bookmarkEnd w:id="0"/>
      <w:bookmarkEnd w:id="1"/>
      <w:bookmarkEnd w:id="2"/>
    </w:p>
    <w:p>
      <w:pPr>
        <w:pStyle w:val="4"/>
        <w:bidi w:val="0"/>
        <w:rPr>
          <w:rFonts w:hint="eastAsia" w:ascii="仿宋_GB2312" w:hAnsi="仿宋_GB2312" w:eastAsia="仿宋_GB2312" w:cs="仿宋_GB2312"/>
        </w:rPr>
      </w:pPr>
      <w:bookmarkStart w:id="3" w:name="_Toc5778"/>
      <w:bookmarkStart w:id="4" w:name="_Toc12478"/>
      <w:bookmarkStart w:id="5" w:name="_Toc4592"/>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土地定级的技术路线</w:t>
      </w:r>
      <w:bookmarkEnd w:id="3"/>
      <w:bookmarkEnd w:id="4"/>
      <w:bookmarkEnd w:id="5"/>
    </w:p>
    <w:p>
      <w:pPr>
        <w:bidi w:val="0"/>
        <w:rPr>
          <w:rFonts w:hint="eastAsia" w:ascii="仿宋_GB2312" w:hAnsi="仿宋_GB2312" w:eastAsia="仿宋_GB2312" w:cs="仿宋_GB2312"/>
        </w:rPr>
      </w:pPr>
      <w:r>
        <w:rPr>
          <w:rFonts w:hint="eastAsia" w:ascii="仿宋_GB2312" w:hAnsi="仿宋_GB2312" w:eastAsia="仿宋_GB2312" w:cs="仿宋_GB2312"/>
        </w:rPr>
        <w:t>土地定级的技术路线采用“以网格为基本定级单元，多因素综合评定法确定单元作用总分值，根据模糊聚类原理，采用总分频率确定土地级别分值界限，依次划分土地级别，并将土地级别落实到以规划道路等自然地物为边界的应用评价单元上，利用市场交易样点地价进行校核”的技术路线，进行商服、住宅和工业用地的分类定级。形成新华镇的商服、住宅、工业用地、公服用地级别图共7张。商服用地3个级别，住宅用地2个级别，工业用地2个级别。新华镇土地定级基础资料见表1-1。</w:t>
      </w:r>
    </w:p>
    <w:p>
      <w:pPr>
        <w:spacing w:beforeLines="5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表1-1  定级资料汇总表</w:t>
      </w:r>
    </w:p>
    <w:tbl>
      <w:tblPr>
        <w:tblStyle w:val="14"/>
        <w:tblW w:w="4712"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295"/>
        <w:gridCol w:w="848"/>
        <w:gridCol w:w="2368"/>
        <w:gridCol w:w="43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87"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因子名称</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图形数据</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属性数据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新华镇地形图</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名称、位置、占地面积、营业面积、商服网点数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新华镇路网图</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名称、宽度、长度、车流量、性质（主干道、次干道、支路）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87"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供水状况</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新华镇给水工程规划图</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40" w:hRule="atLeast"/>
        </w:trPr>
        <w:tc>
          <w:tcPr>
            <w:tcW w:w="1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排水状况</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新华镇排水工程规划图</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新华镇中小学分布图、学校调查表</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名称、位置、数量、占地面积、建筑面积（㎡）、在校人数（人）、教师人数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87"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新华镇近期建设规划图、医院调查表</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名称、位置、占地面积、建筑面积、病床数、医护人员数量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新华镇现状图</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名称、位置、数量、占地面积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新华镇近期建设规划图、银行调查表</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名称、占地面积、建筑面积（㎡）、储蓄金额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40" w:hRule="atLeast"/>
        </w:trPr>
        <w:tc>
          <w:tcPr>
            <w:tcW w:w="187"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产业集聚状况</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新华镇地形图、新华镇驻地总体规划图</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等级（大、中、小型工业区和工业点）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新华镇道路交通规划图、新华镇用地规划图</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名称、路宽、建成状况、长度、性质（主干道、次干道、支路）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539"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1507"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新华镇驻地总体规划图</w:t>
            </w:r>
          </w:p>
        </w:tc>
        <w:tc>
          <w:tcPr>
            <w:tcW w:w="2765"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面积、规划地类（商服、住宅、工业、市政、文教、卫生等）</w:t>
            </w:r>
          </w:p>
        </w:tc>
      </w:tr>
    </w:tbl>
    <w:p>
      <w:pPr>
        <w:pStyle w:val="4"/>
        <w:bidi w:val="0"/>
        <w:rPr>
          <w:rFonts w:hint="eastAsia" w:ascii="仿宋_GB2312" w:hAnsi="仿宋_GB2312" w:eastAsia="仿宋_GB2312" w:cs="仿宋_GB2312"/>
        </w:rPr>
      </w:pPr>
      <w:bookmarkStart w:id="6" w:name="_Toc3357"/>
      <w:bookmarkStart w:id="7" w:name="_Toc24531"/>
      <w:bookmarkStart w:id="8" w:name="_Toc18164"/>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基准地价评估的技术路线</w:t>
      </w:r>
      <w:bookmarkEnd w:id="6"/>
      <w:bookmarkEnd w:id="7"/>
      <w:bookmarkEnd w:id="8"/>
    </w:p>
    <w:p>
      <w:pPr>
        <w:bidi w:val="0"/>
        <w:rPr>
          <w:rFonts w:hint="eastAsia" w:ascii="仿宋_GB2312" w:hAnsi="仿宋_GB2312" w:eastAsia="仿宋_GB2312" w:cs="仿宋_GB2312"/>
        </w:rPr>
      </w:pPr>
      <w:r>
        <w:rPr>
          <w:rFonts w:hint="eastAsia" w:ascii="仿宋_GB2312" w:hAnsi="仿宋_GB2312" w:eastAsia="仿宋_GB2312" w:cs="仿宋_GB2312"/>
        </w:rPr>
        <w:t>临河区新华镇土地的基准地价评估，采取“以土地定级为基础，用市场交易价格等资料分商服、住宅和工业用地评估基准地价，以级控价，以价验级”的技术路线；“用均值-方差法评估级别基准地价”、“建立样点地价和土地级别的模型评估级别基准地价”和“用样点地价与样点定级因素总分值建立数学模型评估级别基准地价”这三种方法综合确定基准地价。新华镇样点资料及相关基础资料见表1-2至表1-6。</w:t>
      </w: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表1-2 临河区新华镇样点资料分类统计表</w:t>
      </w:r>
    </w:p>
    <w:tbl>
      <w:tblPr>
        <w:tblStyle w:val="14"/>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3"/>
        <w:gridCol w:w="3153"/>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99" w:type="pct"/>
            <w:tcBorders>
              <w:top w:val="double" w:color="auto" w:sz="4" w:space="0"/>
              <w:lef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样点类型</w:t>
            </w:r>
          </w:p>
        </w:tc>
        <w:tc>
          <w:tcPr>
            <w:tcW w:w="1816" w:type="pct"/>
            <w:tcBorders>
              <w:top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样点数（个）</w:t>
            </w:r>
          </w:p>
        </w:tc>
        <w:tc>
          <w:tcPr>
            <w:tcW w:w="1384" w:type="pct"/>
            <w:tcBorders>
              <w:top w:val="double" w:color="auto" w:sz="4" w:space="0"/>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有效样点（个）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99" w:type="pct"/>
            <w:tcBorders>
              <w:lef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商服用地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43</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99" w:type="pct"/>
            <w:tcBorders>
              <w:lef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住宅用地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799" w:type="pct"/>
            <w:tcBorders>
              <w:lef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工业用地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99" w:type="pct"/>
            <w:tcBorders>
              <w:left w:val="double" w:color="auto" w:sz="4" w:space="0"/>
              <w:bottom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总计</w:t>
            </w:r>
          </w:p>
        </w:tc>
        <w:tc>
          <w:tcPr>
            <w:tcW w:w="1816" w:type="pct"/>
            <w:tcBorders>
              <w:bottom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60</w:t>
            </w:r>
          </w:p>
        </w:tc>
        <w:tc>
          <w:tcPr>
            <w:tcW w:w="1384" w:type="pct"/>
            <w:tcBorders>
              <w:bottom w:val="double" w:color="auto" w:sz="4" w:space="0"/>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54</w:t>
            </w:r>
          </w:p>
        </w:tc>
      </w:tr>
    </w:tbl>
    <w:p>
      <w:pPr>
        <w:spacing w:beforeLines="20" w:afterLines="20" w:line="324" w:lineRule="auto"/>
        <w:ind w:firstLine="0" w:firstLineChars="0"/>
        <w:jc w:val="center"/>
        <w:rPr>
          <w:rFonts w:hint="eastAsia" w:ascii="仿宋_GB2312" w:hAnsi="仿宋_GB2312" w:eastAsia="仿宋_GB2312" w:cs="仿宋_GB2312"/>
          <w:b/>
          <w:sz w:val="21"/>
          <w:szCs w:val="21"/>
        </w:rPr>
        <w:sectPr>
          <w:headerReference r:id="rId11" w:type="default"/>
          <w:footerReference r:id="rId12" w:type="default"/>
          <w:pgSz w:w="11906" w:h="16838"/>
          <w:pgMar w:top="1440" w:right="1800" w:bottom="1440" w:left="1800" w:header="851" w:footer="992" w:gutter="0"/>
          <w:pgNumType w:fmt="decimal" w:start="1"/>
          <w:cols w:space="425" w:num="1"/>
          <w:docGrid w:type="lines" w:linePitch="312" w:charSpace="0"/>
        </w:sectPr>
      </w:pPr>
    </w:p>
    <w:p>
      <w:pPr>
        <w:spacing w:beforeLines="20" w:afterLines="20" w:line="324"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表1-3 临河区新华镇房屋重置价、残值率、耐用年限标准表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627"/>
        <w:gridCol w:w="2326"/>
        <w:gridCol w:w="1933"/>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top w:val="double" w:color="auto" w:sz="4" w:space="0"/>
              <w:left w:val="double" w:color="auto" w:sz="4" w:space="0"/>
              <w:tl2br w:val="sing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参数类别</w:t>
            </w:r>
          </w:p>
          <w:p>
            <w:pPr>
              <w:spacing w:line="324" w:lineRule="auto"/>
              <w:ind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房屋结构</w:t>
            </w:r>
          </w:p>
        </w:tc>
        <w:tc>
          <w:tcPr>
            <w:tcW w:w="1364" w:type="pct"/>
            <w:tcBorders>
              <w:top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重置价（元/平方米）</w:t>
            </w:r>
          </w:p>
        </w:tc>
        <w:tc>
          <w:tcPr>
            <w:tcW w:w="1134" w:type="pct"/>
            <w:tcBorders>
              <w:top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残值率（%）</w:t>
            </w:r>
          </w:p>
        </w:tc>
        <w:tc>
          <w:tcPr>
            <w:tcW w:w="1138" w:type="pct"/>
            <w:tcBorders>
              <w:top w:val="double" w:color="auto" w:sz="4" w:space="0"/>
              <w:righ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耐用年限（年）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钢混一等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1450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钢混二等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1180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砖混结构一等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960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砖混结构二等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840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砖混结构三等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670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砖木结构一等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750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砖木结构二等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砖木结构三等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530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土木结构一等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490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土木结构二等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430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土木结构三等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2" w:type="pct"/>
            <w:gridSpan w:val="2"/>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简易结构</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08" w:type="pct"/>
            <w:vMerge w:val="restart"/>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库房</w:t>
            </w:r>
          </w:p>
        </w:tc>
        <w:tc>
          <w:tcPr>
            <w:tcW w:w="95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砖混结构一等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715</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08" w:type="pct"/>
            <w:vMerge w:val="continue"/>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p>
        </w:tc>
        <w:tc>
          <w:tcPr>
            <w:tcW w:w="95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砖混结构二等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625</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08" w:type="pct"/>
            <w:vMerge w:val="continue"/>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p>
        </w:tc>
        <w:tc>
          <w:tcPr>
            <w:tcW w:w="95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砖木结构一等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515</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08" w:type="pct"/>
            <w:vMerge w:val="continue"/>
            <w:tcBorders>
              <w:left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p>
        </w:tc>
        <w:tc>
          <w:tcPr>
            <w:tcW w:w="95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砖木结构二等</w:t>
            </w:r>
          </w:p>
        </w:tc>
        <w:tc>
          <w:tcPr>
            <w:tcW w:w="136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310</w:t>
            </w:r>
          </w:p>
        </w:tc>
        <w:tc>
          <w:tcPr>
            <w:tcW w:w="1134" w:type="pct"/>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38" w:type="pct"/>
            <w:tcBorders>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08" w:type="pct"/>
            <w:vMerge w:val="continue"/>
            <w:tcBorders>
              <w:left w:val="double" w:color="auto" w:sz="4" w:space="0"/>
              <w:bottom w:val="double" w:color="auto" w:sz="4" w:space="0"/>
            </w:tcBorders>
            <w:noWrap/>
            <w:vAlign w:val="center"/>
          </w:tcPr>
          <w:p>
            <w:pPr>
              <w:spacing w:line="324" w:lineRule="auto"/>
              <w:ind w:firstLine="0" w:firstLineChars="0"/>
              <w:jc w:val="center"/>
              <w:rPr>
                <w:rFonts w:hint="eastAsia" w:ascii="仿宋_GB2312" w:hAnsi="仿宋_GB2312" w:eastAsia="仿宋_GB2312" w:cs="仿宋_GB2312"/>
                <w:bCs/>
                <w:sz w:val="21"/>
                <w:szCs w:val="21"/>
              </w:rPr>
            </w:pPr>
          </w:p>
        </w:tc>
        <w:tc>
          <w:tcPr>
            <w:tcW w:w="954" w:type="pct"/>
            <w:tcBorders>
              <w:bottom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w:t>
            </w:r>
          </w:p>
        </w:tc>
        <w:tc>
          <w:tcPr>
            <w:tcW w:w="1364" w:type="pct"/>
            <w:tcBorders>
              <w:bottom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w:t>
            </w:r>
          </w:p>
        </w:tc>
        <w:tc>
          <w:tcPr>
            <w:tcW w:w="1134" w:type="pct"/>
            <w:tcBorders>
              <w:bottom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38" w:type="pct"/>
            <w:tcBorders>
              <w:bottom w:val="double" w:color="auto" w:sz="4" w:space="0"/>
              <w:right w:val="double" w:color="auto" w:sz="4" w:space="0"/>
            </w:tcBorders>
            <w:noWrap/>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r>
    </w:tbl>
    <w:p>
      <w:pPr>
        <w:spacing w:line="500" w:lineRule="exact"/>
        <w:ind w:firstLine="446"/>
        <w:jc w:val="center"/>
        <w:rPr>
          <w:rFonts w:hint="eastAsia" w:ascii="仿宋_GB2312" w:hAnsi="仿宋_GB2312" w:eastAsia="仿宋_GB2312" w:cs="仿宋_GB2312"/>
          <w:b/>
          <w:bCs/>
          <w:sz w:val="21"/>
          <w:szCs w:val="21"/>
        </w:rPr>
        <w:sectPr>
          <w:pgSz w:w="11906" w:h="16838"/>
          <w:pgMar w:top="1440" w:right="1800" w:bottom="1440" w:left="1800" w:header="851" w:footer="992" w:gutter="0"/>
          <w:pgNumType w:fmt="decimal"/>
          <w:cols w:space="425" w:num="1"/>
          <w:docGrid w:type="lines" w:linePitch="312" w:charSpace="0"/>
        </w:sectPr>
      </w:pPr>
    </w:p>
    <w:p>
      <w:pPr>
        <w:spacing w:line="500" w:lineRule="exact"/>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表1-4  临河区新华镇房屋交易税费征收标准表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67"/>
        <w:gridCol w:w="2119"/>
        <w:gridCol w:w="2910"/>
        <w:gridCol w:w="16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338" w:type="pct"/>
            <w:gridSpan w:val="2"/>
            <w:noWrap/>
            <w:vAlign w:val="center"/>
          </w:tcPr>
          <w:p>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r>
              <w:rPr>
                <w:rFonts w:hint="eastAsia" w:ascii="仿宋_GB2312" w:hAnsi="仿宋_GB2312" w:eastAsia="仿宋_GB2312" w:cs="仿宋_GB2312"/>
                <w:b/>
                <w:sz w:val="21"/>
                <w:szCs w:val="21"/>
              </w:rPr>
              <w:t>项目</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税率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出租不动产</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（租赁价格）</w:t>
            </w: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增值税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商服5% 住宅1.5%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城建税</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954"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商服0.60%</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住宅0.18%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地方教育费附加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城镇土地使用税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3-15元/m2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印花税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房产税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商服12% 住宅4%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销售不动产</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（销售价格）</w:t>
            </w: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增值税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城建税</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954"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地方教育费附加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城镇土地使用税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3-15元/m2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印花税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房产税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1.2%</w:t>
            </w:r>
          </w:p>
        </w:tc>
      </w:tr>
    </w:tbl>
    <w:p>
      <w:pPr>
        <w:spacing w:beforeLines="20" w:afterLines="20"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表1-5  还原利率计算结果表</w:t>
      </w:r>
    </w:p>
    <w:tbl>
      <w:tblPr>
        <w:tblStyle w:val="14"/>
        <w:tblW w:w="87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746"/>
        <w:gridCol w:w="930"/>
        <w:gridCol w:w="1053"/>
        <w:gridCol w:w="935"/>
        <w:gridCol w:w="1006"/>
        <w:gridCol w:w="914"/>
        <w:gridCol w:w="1073"/>
        <w:gridCol w:w="9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1072" w:type="dxa"/>
            <w:tcBorders>
              <w:top w:val="double" w:color="auto" w:sz="4" w:space="0"/>
              <w:left w:val="double" w:color="auto" w:sz="4" w:space="0"/>
              <w:bottom w:val="single" w:color="auto" w:sz="4" w:space="0"/>
              <w:right w:val="single" w:color="auto" w:sz="4" w:space="0"/>
            </w:tcBorders>
            <w:vAlign w:val="center"/>
          </w:tcPr>
          <w:p>
            <w:pPr>
              <w:widowControl/>
              <w:ind w:firstLine="0" w:firstLineChars="0"/>
              <w:jc w:val="center"/>
              <w:rPr>
                <w:rFonts w:hint="eastAsia" w:ascii="仿宋_GB2312" w:hAnsi="仿宋_GB2312" w:eastAsia="仿宋_GB2312" w:cs="仿宋_GB2312"/>
                <w:b/>
                <w:bCs/>
                <w:sz w:val="21"/>
                <w:szCs w:val="21"/>
              </w:rPr>
            </w:pPr>
            <w:bookmarkStart w:id="9" w:name="_Toc446580297"/>
            <w:bookmarkStart w:id="10" w:name="_Toc24166"/>
            <w:bookmarkStart w:id="11" w:name="_Toc22387"/>
            <w:r>
              <w:rPr>
                <w:rFonts w:hint="eastAsia" w:ascii="仿宋_GB2312" w:hAnsi="仿宋_GB2312" w:eastAsia="仿宋_GB2312" w:cs="仿宋_GB2312"/>
                <w:b/>
                <w:bCs/>
                <w:sz w:val="21"/>
                <w:szCs w:val="21"/>
              </w:rPr>
              <w:t>用地</w:t>
            </w:r>
          </w:p>
          <w:p>
            <w:pPr>
              <w:widowControl/>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rPr>
              <w:t>类型</w:t>
            </w:r>
          </w:p>
        </w:tc>
        <w:tc>
          <w:tcPr>
            <w:tcW w:w="2729" w:type="dxa"/>
            <w:gridSpan w:val="3"/>
            <w:tcBorders>
              <w:top w:val="doub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商服用地（%）</w:t>
            </w:r>
          </w:p>
        </w:tc>
        <w:tc>
          <w:tcPr>
            <w:tcW w:w="2855" w:type="dxa"/>
            <w:gridSpan w:val="3"/>
            <w:tcBorders>
              <w:top w:val="doub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住宅用地（%）</w:t>
            </w:r>
          </w:p>
        </w:tc>
        <w:tc>
          <w:tcPr>
            <w:tcW w:w="2064" w:type="dxa"/>
            <w:gridSpan w:val="2"/>
            <w:tcBorders>
              <w:top w:val="double" w:color="auto" w:sz="4" w:space="0"/>
              <w:left w:val="single" w:color="auto" w:sz="4" w:space="0"/>
              <w:bottom w:val="single" w:color="auto" w:sz="4" w:space="0"/>
              <w:right w:val="double" w:color="auto" w:sz="4" w:space="0"/>
            </w:tcBorders>
            <w:vAlign w:val="center"/>
          </w:tcPr>
          <w:p>
            <w:pPr>
              <w:widowControl/>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工业用地（%）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9" w:hRule="atLeast"/>
          <w:jc w:val="center"/>
        </w:trPr>
        <w:tc>
          <w:tcPr>
            <w:tcW w:w="1072" w:type="dxa"/>
            <w:tcBorders>
              <w:top w:val="single" w:color="auto" w:sz="4" w:space="0"/>
              <w:left w:val="double" w:color="auto" w:sz="4" w:space="0"/>
              <w:bottom w:val="single" w:color="auto" w:sz="4" w:space="0"/>
              <w:right w:val="single" w:color="auto" w:sz="4" w:space="0"/>
            </w:tcBorders>
            <w:vAlign w:val="center"/>
          </w:tcPr>
          <w:p>
            <w:pPr>
              <w:widowControl/>
              <w:adjustRightInd w:val="0"/>
              <w:snapToGrid w:val="0"/>
              <w:spacing w:line="30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利率</w:t>
            </w:r>
          </w:p>
          <w:p>
            <w:pPr>
              <w:widowControl/>
              <w:adjustRightInd w:val="0"/>
              <w:snapToGrid w:val="0"/>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类型</w:t>
            </w:r>
          </w:p>
        </w:tc>
        <w:tc>
          <w:tcPr>
            <w:tcW w:w="7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土地还原利率</w:t>
            </w:r>
          </w:p>
        </w:tc>
        <w:tc>
          <w:tcPr>
            <w:tcW w:w="9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建筑物还原利率</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综合还原利率</w:t>
            </w:r>
          </w:p>
        </w:tc>
        <w:tc>
          <w:tcPr>
            <w:tcW w:w="9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土地还原利率</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建筑物还原利率</w:t>
            </w:r>
          </w:p>
        </w:tc>
        <w:tc>
          <w:tcPr>
            <w:tcW w:w="9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综合还原利率</w:t>
            </w:r>
          </w:p>
        </w:tc>
        <w:tc>
          <w:tcPr>
            <w:tcW w:w="10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土地还原利率</w:t>
            </w:r>
          </w:p>
        </w:tc>
        <w:tc>
          <w:tcPr>
            <w:tcW w:w="991" w:type="dxa"/>
            <w:tcBorders>
              <w:top w:val="single" w:color="auto" w:sz="4" w:space="0"/>
              <w:left w:val="single" w:color="auto" w:sz="4" w:space="0"/>
              <w:bottom w:val="single" w:color="auto" w:sz="4" w:space="0"/>
              <w:right w:val="double" w:color="auto" w:sz="4" w:space="0"/>
            </w:tcBorders>
            <w:vAlign w:val="center"/>
          </w:tcPr>
          <w:p>
            <w:pPr>
              <w:widowControl/>
              <w:adjustRightInd w:val="0"/>
              <w:snapToGrid w:val="0"/>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建筑物还原利率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1072" w:type="dxa"/>
            <w:tcBorders>
              <w:top w:val="single" w:color="auto" w:sz="4" w:space="0"/>
              <w:left w:val="double" w:color="auto" w:sz="4" w:space="0"/>
              <w:bottom w:val="double" w:color="auto" w:sz="4" w:space="0"/>
              <w:right w:val="single" w:color="auto" w:sz="4" w:space="0"/>
            </w:tcBorders>
          </w:tcPr>
          <w:p>
            <w:pPr>
              <w:widowControl/>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计算</w:t>
            </w:r>
          </w:p>
          <w:p>
            <w:pPr>
              <w:widowControl/>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结果</w:t>
            </w:r>
          </w:p>
        </w:tc>
        <w:tc>
          <w:tcPr>
            <w:tcW w:w="746"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0" w:lineRule="atLeast"/>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6.55</w:t>
            </w:r>
          </w:p>
        </w:tc>
        <w:tc>
          <w:tcPr>
            <w:tcW w:w="930"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0" w:lineRule="atLeast"/>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8.95</w:t>
            </w:r>
          </w:p>
        </w:tc>
        <w:tc>
          <w:tcPr>
            <w:tcW w:w="1053"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0" w:lineRule="atLeast"/>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7.76</w:t>
            </w:r>
          </w:p>
        </w:tc>
        <w:tc>
          <w:tcPr>
            <w:tcW w:w="935"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0" w:lineRule="atLeast"/>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5.82</w:t>
            </w:r>
          </w:p>
        </w:tc>
        <w:tc>
          <w:tcPr>
            <w:tcW w:w="1006"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0" w:lineRule="atLeast"/>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8.27</w:t>
            </w:r>
          </w:p>
        </w:tc>
        <w:tc>
          <w:tcPr>
            <w:tcW w:w="914" w:type="dxa"/>
            <w:tcBorders>
              <w:top w:val="single" w:color="auto" w:sz="4" w:space="0"/>
              <w:left w:val="single" w:color="auto" w:sz="4" w:space="0"/>
              <w:bottom w:val="double" w:color="auto" w:sz="4" w:space="0"/>
              <w:right w:val="single" w:color="auto" w:sz="4" w:space="0"/>
            </w:tcBorders>
            <w:vAlign w:val="center"/>
          </w:tcPr>
          <w:p>
            <w:pPr>
              <w:numPr>
                <w:ilvl w:val="0"/>
                <w:numId w:val="1"/>
              </w:numPr>
              <w:adjustRightInd w:val="0"/>
              <w:snapToGrid w:val="0"/>
              <w:spacing w:line="20" w:lineRule="atLeast"/>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08</w:t>
            </w:r>
          </w:p>
        </w:tc>
        <w:tc>
          <w:tcPr>
            <w:tcW w:w="1073"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0" w:lineRule="atLeast"/>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4.85</w:t>
            </w:r>
          </w:p>
        </w:tc>
        <w:tc>
          <w:tcPr>
            <w:tcW w:w="991" w:type="dxa"/>
            <w:tcBorders>
              <w:top w:val="single" w:color="auto" w:sz="4" w:space="0"/>
              <w:left w:val="single" w:color="auto" w:sz="4" w:space="0"/>
              <w:bottom w:val="double" w:color="auto" w:sz="4" w:space="0"/>
              <w:right w:val="double" w:color="auto" w:sz="4" w:space="0"/>
            </w:tcBorders>
            <w:vAlign w:val="center"/>
          </w:tcPr>
          <w:p>
            <w:pPr>
              <w:widowControl/>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bl>
    <w:p>
      <w:pPr>
        <w:pStyle w:val="3"/>
        <w:spacing w:before="0" w:after="0" w:line="360" w:lineRule="auto"/>
        <w:ind w:firstLine="0" w:firstLineChars="0"/>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p>
    <w:p>
      <w:pPr>
        <w:pStyle w:val="3"/>
        <w:bidi w:val="0"/>
        <w:rPr>
          <w:rFonts w:hint="eastAsia" w:ascii="仿宋_GB2312" w:hAnsi="仿宋_GB2312" w:eastAsia="仿宋_GB2312" w:cs="仿宋_GB2312"/>
        </w:rPr>
      </w:pPr>
      <w:bookmarkStart w:id="12" w:name="_Toc15440"/>
      <w:r>
        <w:rPr>
          <w:rFonts w:hint="eastAsia" w:ascii="仿宋_GB2312" w:hAnsi="仿宋_GB2312" w:eastAsia="仿宋_GB2312" w:cs="仿宋_GB2312"/>
        </w:rPr>
        <w:t>第二章  新华镇基准地价更新成果</w:t>
      </w:r>
      <w:bookmarkEnd w:id="9"/>
      <w:bookmarkEnd w:id="10"/>
      <w:bookmarkEnd w:id="11"/>
      <w:bookmarkEnd w:id="12"/>
    </w:p>
    <w:p>
      <w:pPr>
        <w:pStyle w:val="4"/>
        <w:bidi w:val="0"/>
        <w:rPr>
          <w:rFonts w:hint="eastAsia" w:ascii="仿宋_GB2312" w:hAnsi="仿宋_GB2312" w:eastAsia="仿宋_GB2312" w:cs="仿宋_GB2312"/>
        </w:rPr>
      </w:pPr>
      <w:bookmarkStart w:id="13" w:name="_Toc21869"/>
      <w:bookmarkStart w:id="14" w:name="_Toc4031"/>
      <w:bookmarkStart w:id="15" w:name="_Toc10102"/>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基准地价更新成果</w:t>
      </w:r>
      <w:bookmarkEnd w:id="13"/>
      <w:bookmarkEnd w:id="14"/>
      <w:bookmarkEnd w:id="15"/>
    </w:p>
    <w:p>
      <w:pPr>
        <w:bidi w:val="0"/>
        <w:rPr>
          <w:rFonts w:hint="eastAsia" w:ascii="仿宋_GB2312" w:hAnsi="仿宋_GB2312" w:eastAsia="仿宋_GB2312" w:cs="仿宋_GB2312"/>
        </w:rPr>
      </w:pPr>
      <w:r>
        <w:rPr>
          <w:rFonts w:hint="eastAsia" w:ascii="仿宋_GB2312" w:hAnsi="仿宋_GB2312" w:eastAsia="仿宋_GB2312" w:cs="仿宋_GB2312"/>
        </w:rPr>
        <w:t>临河区新华镇此次基准地价更新的评估基准日是2021年6月30日。同时，综合考虑临河区新华镇近四年土地招、拍、挂出让案例和最新的控制性土地开发强度规划指标，依据临河区新华镇地区实际经济发展情况，为切实反映地区经济发展的差异性，更准确体现不同地区的基准地价实际水平，此次基准地价更新评估采用城区差别化地价内涵设定。</w:t>
      </w:r>
    </w:p>
    <w:p>
      <w:pPr>
        <w:bidi w:val="0"/>
        <w:rPr>
          <w:rFonts w:hint="eastAsia" w:ascii="仿宋_GB2312" w:hAnsi="仿宋_GB2312" w:eastAsia="仿宋_GB2312" w:cs="仿宋_GB2312"/>
        </w:rPr>
      </w:pPr>
      <w:r>
        <w:rPr>
          <w:rFonts w:hint="eastAsia" w:ascii="仿宋_GB2312" w:hAnsi="仿宋_GB2312" w:eastAsia="仿宋_GB2312" w:cs="仿宋_GB2312"/>
        </w:rPr>
        <w:t>设定土地开发程度为商服用地、住宅用地 “五通一平”（宗地红线外通路、通电、通上水、通下水、通讯和宗地内场地平整），工业用地“四通一平”（宗地红线外通路、通电、通讯、通上水和宗地内场地平整）。</w:t>
      </w:r>
    </w:p>
    <w:p>
      <w:pPr>
        <w:bidi w:val="0"/>
        <w:rPr>
          <w:rFonts w:hint="eastAsia" w:ascii="仿宋_GB2312" w:hAnsi="仿宋_GB2312" w:eastAsia="仿宋_GB2312" w:cs="仿宋_GB2312"/>
        </w:rPr>
      </w:pPr>
      <w:r>
        <w:rPr>
          <w:rFonts w:hint="eastAsia" w:ascii="仿宋_GB2312" w:hAnsi="仿宋_GB2312" w:eastAsia="仿宋_GB2312" w:cs="仿宋_GB2312"/>
        </w:rPr>
        <w:t>法定土地使用权最高出让年限为商服用地40年、住宅用地70年、工业用地50年。</w:t>
      </w:r>
    </w:p>
    <w:p>
      <w:pPr>
        <w:bidi w:val="0"/>
        <w:rPr>
          <w:rFonts w:hint="eastAsia" w:ascii="仿宋_GB2312" w:hAnsi="仿宋_GB2312" w:eastAsia="仿宋_GB2312" w:cs="仿宋_GB2312"/>
        </w:rPr>
      </w:pPr>
      <w:r>
        <w:rPr>
          <w:rFonts w:hint="eastAsia" w:ascii="仿宋_GB2312" w:hAnsi="仿宋_GB2312" w:eastAsia="仿宋_GB2312" w:cs="仿宋_GB2312"/>
        </w:rPr>
        <w:t>容积率的设定：商服用地平均容积率为1.0，住宅用地平均容积率为1.0，工业用地平均容积率为0.7。</w:t>
      </w:r>
    </w:p>
    <w:p>
      <w:pPr>
        <w:bidi w:val="0"/>
        <w:rPr>
          <w:rFonts w:hint="eastAsia" w:ascii="仿宋_GB2312" w:hAnsi="仿宋_GB2312" w:eastAsia="仿宋_GB2312" w:cs="仿宋_GB2312"/>
        </w:rPr>
      </w:pPr>
      <w:r>
        <w:rPr>
          <w:rFonts w:hint="eastAsia" w:ascii="仿宋_GB2312" w:hAnsi="仿宋_GB2312" w:eastAsia="仿宋_GB2312" w:cs="仿宋_GB2312"/>
        </w:rPr>
        <w:t>地价表达形式，根据临河区乌兰图克镇地价楼层分布特征和应用需要，设定：</w:t>
      </w:r>
    </w:p>
    <w:p>
      <w:pPr>
        <w:bidi w:val="0"/>
        <w:rPr>
          <w:rFonts w:hint="eastAsia" w:ascii="仿宋_GB2312" w:hAnsi="仿宋_GB2312" w:eastAsia="仿宋_GB2312" w:cs="仿宋_GB2312"/>
        </w:rPr>
      </w:pPr>
      <w:r>
        <w:rPr>
          <w:rFonts w:hint="eastAsia" w:ascii="仿宋_GB2312" w:hAnsi="仿宋_GB2312" w:eastAsia="仿宋_GB2312" w:cs="仿宋_GB2312"/>
        </w:rPr>
        <w:t>1、商服用地基准地价</w:t>
      </w:r>
      <w:r>
        <w:rPr>
          <w:rFonts w:hint="eastAsia" w:ascii="仿宋_GB2312" w:hAnsi="仿宋_GB2312" w:eastAsia="仿宋_GB2312" w:cs="仿宋_GB2312"/>
          <w:lang w:eastAsia="zh-CN"/>
        </w:rPr>
        <w:t>（</w:t>
      </w:r>
      <w:r>
        <w:rPr>
          <w:rFonts w:hint="eastAsia" w:ascii="仿宋_GB2312" w:hAnsi="仿宋_GB2312" w:eastAsia="仿宋_GB2312" w:cs="仿宋_GB2312"/>
        </w:rPr>
        <w:t>级别价</w:t>
      </w:r>
      <w:r>
        <w:rPr>
          <w:rFonts w:hint="eastAsia" w:ascii="仿宋_GB2312" w:hAnsi="仿宋_GB2312" w:eastAsia="仿宋_GB2312" w:cs="仿宋_GB2312"/>
          <w:lang w:eastAsia="zh-CN"/>
        </w:rPr>
        <w:t>）</w:t>
      </w:r>
      <w:r>
        <w:rPr>
          <w:rFonts w:hint="eastAsia" w:ascii="仿宋_GB2312" w:hAnsi="仿宋_GB2312" w:eastAsia="仿宋_GB2312" w:cs="仿宋_GB2312"/>
        </w:rPr>
        <w:t>：是平均容积率1.0下的平均基准地价，即平均容积率1.0下的每平方米面积分摊的土地使用权平均价格。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2、住宅用地基准地价</w:t>
      </w:r>
      <w:r>
        <w:rPr>
          <w:rFonts w:hint="eastAsia" w:ascii="仿宋_GB2312" w:hAnsi="仿宋_GB2312" w:eastAsia="仿宋_GB2312" w:cs="仿宋_GB2312"/>
          <w:lang w:eastAsia="zh-CN"/>
        </w:rPr>
        <w:t>（</w:t>
      </w:r>
      <w:r>
        <w:rPr>
          <w:rFonts w:hint="eastAsia" w:ascii="仿宋_GB2312" w:hAnsi="仿宋_GB2312" w:eastAsia="仿宋_GB2312" w:cs="仿宋_GB2312"/>
        </w:rPr>
        <w:t>级别价</w:t>
      </w:r>
      <w:r>
        <w:rPr>
          <w:rFonts w:hint="eastAsia" w:ascii="仿宋_GB2312" w:hAnsi="仿宋_GB2312" w:eastAsia="仿宋_GB2312" w:cs="仿宋_GB2312"/>
          <w:lang w:eastAsia="zh-CN"/>
        </w:rPr>
        <w:t>）</w:t>
      </w:r>
      <w:r>
        <w:rPr>
          <w:rFonts w:hint="eastAsia" w:ascii="仿宋_GB2312" w:hAnsi="仿宋_GB2312" w:eastAsia="仿宋_GB2312" w:cs="仿宋_GB2312"/>
        </w:rPr>
        <w:t>是：平均容积率1.0下的平均基准地价，即平均容积率1.0下的每平方米面积分摊的土地使用权平均价格。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3、工业用地基准地价</w:t>
      </w:r>
      <w:r>
        <w:rPr>
          <w:rFonts w:hint="eastAsia" w:ascii="仿宋_GB2312" w:hAnsi="仿宋_GB2312" w:eastAsia="仿宋_GB2312" w:cs="仿宋_GB2312"/>
          <w:lang w:eastAsia="zh-CN"/>
        </w:rPr>
        <w:t>（</w:t>
      </w:r>
      <w:r>
        <w:rPr>
          <w:rFonts w:hint="eastAsia" w:ascii="仿宋_GB2312" w:hAnsi="仿宋_GB2312" w:eastAsia="仿宋_GB2312" w:cs="仿宋_GB2312"/>
        </w:rPr>
        <w:t>级别价</w:t>
      </w:r>
      <w:r>
        <w:rPr>
          <w:rFonts w:hint="eastAsia" w:ascii="仿宋_GB2312" w:hAnsi="仿宋_GB2312" w:eastAsia="仿宋_GB2312" w:cs="仿宋_GB2312"/>
          <w:lang w:eastAsia="zh-CN"/>
        </w:rPr>
        <w:t>）</w:t>
      </w:r>
      <w:r>
        <w:rPr>
          <w:rFonts w:hint="eastAsia" w:ascii="仿宋_GB2312" w:hAnsi="仿宋_GB2312" w:eastAsia="仿宋_GB2312" w:cs="仿宋_GB2312"/>
        </w:rPr>
        <w:t>是：平均容积率0.7下的平均基准地价，即平均容积率0.7下的每平方米面积分摊的土地使用权平均价格。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基准地价内涵说明见下表。</w:t>
      </w: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表2-1基准地价内涵说明表</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427"/>
        <w:gridCol w:w="2267"/>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4" w:type="dxa"/>
            <w:tcBorders>
              <w:top w:val="double" w:color="auto" w:sz="4" w:space="0"/>
              <w:lef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用途</w:t>
            </w:r>
          </w:p>
        </w:tc>
        <w:tc>
          <w:tcPr>
            <w:tcW w:w="2427" w:type="dxa"/>
            <w:tcBorders>
              <w:top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w:t>
            </w:r>
          </w:p>
        </w:tc>
        <w:tc>
          <w:tcPr>
            <w:tcW w:w="2267" w:type="dxa"/>
            <w:tcBorders>
              <w:top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w:t>
            </w:r>
          </w:p>
        </w:tc>
        <w:tc>
          <w:tcPr>
            <w:tcW w:w="2442" w:type="dxa"/>
            <w:tcBorders>
              <w:top w:val="double" w:color="auto" w:sz="4" w:space="0"/>
              <w:righ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84" w:type="dxa"/>
            <w:tcBorders>
              <w:lef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价格构成</w:t>
            </w:r>
          </w:p>
        </w:tc>
        <w:tc>
          <w:tcPr>
            <w:tcW w:w="7136" w:type="dxa"/>
            <w:gridSpan w:val="3"/>
            <w:tcBorders>
              <w:right w:val="double" w:color="auto" w:sz="4" w:space="0"/>
            </w:tcBorders>
            <w:vAlign w:val="center"/>
          </w:tcPr>
          <w:p>
            <w:pPr>
              <w:pStyle w:val="6"/>
              <w:spacing w:line="360" w:lineRule="atLeast"/>
              <w:ind w:left="0" w:leftChars="0" w:firstLine="0" w:firstLineChars="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土地取得费、土地开发配套费用、应纳税费、利息、利润、土地增值收益。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84" w:type="dxa"/>
            <w:tcBorders>
              <w:lef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评估期日</w:t>
            </w:r>
          </w:p>
        </w:tc>
        <w:tc>
          <w:tcPr>
            <w:tcW w:w="7136" w:type="dxa"/>
            <w:gridSpan w:val="3"/>
            <w:tcBorders>
              <w:right w:val="double" w:color="auto" w:sz="4" w:space="0"/>
            </w:tcBorders>
            <w:vAlign w:val="center"/>
          </w:tcPr>
          <w:p>
            <w:pPr>
              <w:pStyle w:val="6"/>
              <w:spacing w:line="360" w:lineRule="atLeast"/>
              <w:ind w:firstLine="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84" w:type="dxa"/>
            <w:tcBorders>
              <w:lef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土地开发程度</w:t>
            </w:r>
          </w:p>
        </w:tc>
        <w:tc>
          <w:tcPr>
            <w:tcW w:w="7136" w:type="dxa"/>
            <w:gridSpan w:val="3"/>
            <w:tcBorders>
              <w:right w:val="double" w:color="auto" w:sz="4" w:space="0"/>
            </w:tcBorders>
            <w:vAlign w:val="center"/>
          </w:tcPr>
          <w:p>
            <w:pPr>
              <w:pStyle w:val="6"/>
              <w:spacing w:line="360" w:lineRule="atLeast"/>
              <w:ind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住宅用地设定开发程度均设定为“五通一平”（宗地红线外通路、通电、通上水、通下水、通讯和宗地内场地平整）；工业用地设定开发程度均设定为“四通一平”（宗地红线外通路、通电、通上水、通讯和宗地内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84" w:type="dxa"/>
            <w:tcBorders>
              <w:lef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土地使用年期</w:t>
            </w:r>
          </w:p>
        </w:tc>
        <w:tc>
          <w:tcPr>
            <w:tcW w:w="2427" w:type="dxa"/>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2267" w:type="dxa"/>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2442" w:type="dxa"/>
            <w:tcBorders>
              <w:righ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1584" w:type="dxa"/>
            <w:tcBorders>
              <w:left w:val="double" w:color="auto" w:sz="4" w:space="0"/>
              <w:bottom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平均容积率</w:t>
            </w:r>
          </w:p>
        </w:tc>
        <w:tc>
          <w:tcPr>
            <w:tcW w:w="2427" w:type="dxa"/>
            <w:tcBorders>
              <w:bottom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2267" w:type="dxa"/>
            <w:tcBorders>
              <w:bottom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2442" w:type="dxa"/>
            <w:tcBorders>
              <w:bottom w:val="double" w:color="auto" w:sz="4" w:space="0"/>
              <w:righ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0.7</w:t>
            </w:r>
          </w:p>
        </w:tc>
      </w:tr>
    </w:tbl>
    <w:p>
      <w:pPr>
        <w:bidi w:val="0"/>
        <w:rPr>
          <w:rFonts w:hint="eastAsia" w:ascii="仿宋_GB2312" w:hAnsi="仿宋_GB2312" w:eastAsia="仿宋_GB2312" w:cs="仿宋_GB2312"/>
        </w:rPr>
      </w:pPr>
      <w:r>
        <w:rPr>
          <w:rFonts w:hint="eastAsia" w:ascii="仿宋_GB2312" w:hAnsi="仿宋_GB2312" w:eastAsia="仿宋_GB2312" w:cs="仿宋_GB2312"/>
        </w:rPr>
        <w:t>新华镇2021年基准地价更新采用分类定级的方式，即依据不同用途进行土地级别划分和基准地价确定，各用途各级别基准地价价格如表2-2。</w:t>
      </w:r>
    </w:p>
    <w:p>
      <w:pPr>
        <w:adjustRightInd w:val="0"/>
        <w:snapToGrid w:val="0"/>
        <w:ind w:firstLine="446"/>
        <w:jc w:val="center"/>
        <w:rPr>
          <w:rFonts w:hint="eastAsia" w:ascii="仿宋_GB2312" w:hAnsi="仿宋_GB2312" w:eastAsia="仿宋_GB2312" w:cs="仿宋_GB2312"/>
          <w:b/>
          <w:bCs/>
          <w:szCs w:val="21"/>
        </w:rPr>
      </w:pPr>
      <w:r>
        <w:rPr>
          <w:rFonts w:hint="eastAsia" w:ascii="仿宋_GB2312" w:hAnsi="仿宋_GB2312" w:eastAsia="仿宋_GB2312" w:cs="仿宋_GB2312"/>
          <w:b/>
          <w:szCs w:val="21"/>
        </w:rPr>
        <w:t>表2-2新华镇</w:t>
      </w:r>
      <w:r>
        <w:rPr>
          <w:rFonts w:hint="eastAsia" w:ascii="仿宋_GB2312" w:hAnsi="仿宋_GB2312" w:eastAsia="仿宋_GB2312" w:cs="仿宋_GB2312"/>
          <w:b/>
          <w:bCs/>
          <w:szCs w:val="21"/>
        </w:rPr>
        <w:t>各类用地基准地价表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95"/>
        <w:gridCol w:w="2108"/>
        <w:gridCol w:w="2108"/>
        <w:gridCol w:w="21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tcBorders>
              <w:top w:val="double" w:color="auto" w:sz="4" w:space="0"/>
              <w:left w:val="double" w:color="auto" w:sz="4" w:space="0"/>
              <w:bottom w:val="single" w:color="auto" w:sz="4"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pacing w:line="240" w:lineRule="exact"/>
              <w:ind w:firstLine="0" w:firstLineChars="0"/>
              <w:jc w:val="center"/>
              <w:rPr>
                <w:rFonts w:hint="eastAsia" w:ascii="仿宋_GB2312" w:hAnsi="仿宋_GB2312" w:eastAsia="仿宋_GB2312" w:cs="仿宋_GB2312"/>
                <w:b/>
                <w:bCs/>
                <w:sz w:val="21"/>
                <w:szCs w:val="21"/>
              </w:rPr>
            </w:pPr>
            <w:bookmarkStart w:id="16" w:name="_Toc32101"/>
            <w:bookmarkStart w:id="17" w:name="_Toc454553814"/>
            <w:bookmarkStart w:id="18" w:name="_Toc5509"/>
            <w:bookmarkStart w:id="19" w:name="_Toc454869985"/>
          </w:p>
          <w:p>
            <w:pPr>
              <w:spacing w:line="240" w:lineRule="exact"/>
              <w:ind w:firstLine="0" w:firstLineChars="0"/>
              <w:jc w:val="left"/>
              <w:rPr>
                <w:rFonts w:hint="eastAsia" w:ascii="仿宋_GB2312" w:hAnsi="仿宋_GB2312" w:eastAsia="仿宋_GB2312" w:cs="仿宋_GB2312"/>
                <w:b/>
                <w:bCs/>
                <w:sz w:val="21"/>
                <w:szCs w:val="21"/>
              </w:rPr>
            </w:pPr>
          </w:p>
          <w:p>
            <w:pPr>
              <w:spacing w:line="240" w:lineRule="exact"/>
              <w:ind w:firstLine="0" w:firstLineChars="0"/>
              <w:jc w:val="left"/>
              <w:rPr>
                <w:rFonts w:hint="eastAsia" w:ascii="仿宋_GB2312" w:hAnsi="仿宋_GB2312" w:eastAsia="仿宋_GB2312" w:cs="仿宋_GB2312"/>
                <w:b/>
                <w:bCs/>
                <w:sz w:val="21"/>
                <w:szCs w:val="21"/>
              </w:rPr>
            </w:pPr>
          </w:p>
          <w:p>
            <w:pPr>
              <w:spacing w:line="240" w:lineRule="exact"/>
              <w:ind w:firstLine="446" w:firstLineChars="200"/>
              <w:jc w:val="left"/>
              <mc:AlternateContent>
                <mc:Choice Requires="wpsCustomData">
                  <wpsCustomData:diagonalParaType/>
                </mc:Choice>
              </mc:AlternateConten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级别</w:t>
            </w:r>
          </w:p>
          <w:p>
            <w:pPr>
              <w:wordWrap w:val="0"/>
              <w:spacing w:line="240" w:lineRule="auto"/>
              <w:ind w:firstLine="0" w:firstLineChars="0"/>
              <w:jc w:val="right"/>
              <w:rPr>
                <w:rFonts w:hint="eastAsia" w:ascii="仿宋_GB2312" w:hAnsi="仿宋_GB2312" w:eastAsia="仿宋_GB2312" w:cs="仿宋_GB2312"/>
                <w:b/>
                <w:bCs/>
                <w:sz w:val="21"/>
                <w:szCs w:val="21"/>
              </w:rPr>
            </w:pPr>
          </w:p>
          <w:p>
            <w:pPr>
              <w:wordWrap w:val="0"/>
              <w:spacing w:line="240" w:lineRule="auto"/>
              <w:ind w:firstLine="0" w:firstLineChars="0"/>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用途</w:t>
            </w:r>
          </w:p>
        </w:tc>
        <w:tc>
          <w:tcPr>
            <w:tcW w:w="1237" w:type="pct"/>
            <w:tcBorders>
              <w:top w:val="doub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w:t>
            </w:r>
          </w:p>
        </w:tc>
        <w:tc>
          <w:tcPr>
            <w:tcW w:w="1237" w:type="pct"/>
            <w:tcBorders>
              <w:top w:val="doub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w:t>
            </w:r>
          </w:p>
        </w:tc>
        <w:tc>
          <w:tcPr>
            <w:tcW w:w="1237" w:type="pct"/>
            <w:tcBorders>
              <w:top w:val="double" w:color="auto" w:sz="4" w:space="0"/>
              <w:left w:val="single" w:color="auto" w:sz="4" w:space="0"/>
              <w:bottom w:val="single" w:color="auto" w:sz="4"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tcBorders>
              <w:top w:val="single" w:color="auto" w:sz="4" w:space="0"/>
              <w:left w:val="double" w:color="auto" w:sz="4" w:space="0"/>
              <w:bottom w:val="single" w:color="auto" w:sz="4"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1237"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171</w:t>
            </w:r>
          </w:p>
        </w:tc>
        <w:tc>
          <w:tcPr>
            <w:tcW w:w="1237"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w:t>
            </w:r>
          </w:p>
        </w:tc>
        <w:tc>
          <w:tcPr>
            <w:tcW w:w="1237" w:type="pct"/>
            <w:tcBorders>
              <w:top w:val="single" w:color="auto" w:sz="4" w:space="0"/>
              <w:left w:val="single" w:color="auto" w:sz="4" w:space="0"/>
              <w:bottom w:val="single" w:color="auto" w:sz="4"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tcBorders>
              <w:top w:val="single" w:color="auto" w:sz="4" w:space="0"/>
              <w:left w:val="double" w:color="auto" w:sz="4" w:space="0"/>
              <w:bottom w:val="single" w:color="auto" w:sz="4"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1237"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w:t>
            </w:r>
          </w:p>
        </w:tc>
        <w:tc>
          <w:tcPr>
            <w:tcW w:w="1237" w:type="pct"/>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w:t>
            </w:r>
          </w:p>
        </w:tc>
        <w:tc>
          <w:tcPr>
            <w:tcW w:w="1237" w:type="pct"/>
            <w:tcBorders>
              <w:top w:val="single" w:color="auto" w:sz="4" w:space="0"/>
              <w:left w:val="single" w:color="auto" w:sz="4" w:space="0"/>
              <w:bottom w:val="single" w:color="auto" w:sz="4"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tcBorders>
              <w:top w:val="single" w:color="auto" w:sz="4" w:space="0"/>
              <w:left w:val="double" w:color="auto" w:sz="4" w:space="0"/>
              <w:bottom w:val="double" w:color="auto" w:sz="4"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Ⅲ</w:t>
            </w:r>
          </w:p>
        </w:tc>
        <w:tc>
          <w:tcPr>
            <w:tcW w:w="1237" w:type="pct"/>
            <w:tcBorders>
              <w:top w:val="single" w:color="auto" w:sz="4" w:space="0"/>
              <w:left w:val="single" w:color="auto" w:sz="4" w:space="0"/>
              <w:bottom w:val="double" w:color="auto" w:sz="4"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108</w:t>
            </w:r>
          </w:p>
        </w:tc>
        <w:tc>
          <w:tcPr>
            <w:tcW w:w="1237" w:type="pct"/>
            <w:tcBorders>
              <w:top w:val="single" w:color="auto" w:sz="4" w:space="0"/>
              <w:left w:val="single" w:color="auto" w:sz="4" w:space="0"/>
              <w:bottom w:val="double" w:color="auto" w:sz="4"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1237" w:type="pct"/>
            <w:tcBorders>
              <w:top w:val="single" w:color="auto" w:sz="4" w:space="0"/>
              <w:left w:val="single" w:color="auto" w:sz="4" w:space="0"/>
              <w:bottom w:val="double" w:color="auto" w:sz="4"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pStyle w:val="4"/>
        <w:bidi w:val="0"/>
        <w:rPr>
          <w:rFonts w:hint="eastAsia" w:ascii="仿宋_GB2312" w:hAnsi="仿宋_GB2312" w:eastAsia="仿宋_GB2312" w:cs="仿宋_GB2312"/>
        </w:rPr>
      </w:pPr>
      <w:bookmarkStart w:id="20" w:name="_Toc11013"/>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基准地价修正体系</w:t>
      </w:r>
      <w:bookmarkEnd w:id="16"/>
      <w:bookmarkEnd w:id="17"/>
      <w:bookmarkEnd w:id="18"/>
      <w:bookmarkEnd w:id="19"/>
      <w:bookmarkEnd w:id="20"/>
    </w:p>
    <w:p>
      <w:pPr>
        <w:pStyle w:val="5"/>
        <w:bidi w:val="0"/>
        <w:rPr>
          <w:rFonts w:hint="eastAsia" w:ascii="仿宋_GB2312" w:hAnsi="仿宋_GB2312" w:eastAsia="仿宋_GB2312" w:cs="仿宋_GB2312"/>
        </w:rPr>
      </w:pPr>
      <w:bookmarkStart w:id="21" w:name="_Toc7490"/>
      <w:r>
        <w:rPr>
          <w:rFonts w:hint="eastAsia" w:ascii="仿宋_GB2312" w:hAnsi="仿宋_GB2312" w:eastAsia="仿宋_GB2312" w:cs="仿宋_GB2312"/>
          <w:lang w:eastAsia="zh-CN"/>
        </w:rPr>
        <w:t>一、</w:t>
      </w:r>
      <w:r>
        <w:rPr>
          <w:rFonts w:hint="eastAsia" w:ascii="仿宋_GB2312" w:hAnsi="仿宋_GB2312" w:eastAsia="仿宋_GB2312" w:cs="仿宋_GB2312"/>
        </w:rPr>
        <w:t>商服用地基准地价个别因素修正体系</w:t>
      </w:r>
      <w:bookmarkEnd w:id="21"/>
    </w:p>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（一）</w:t>
      </w:r>
      <w:r>
        <w:rPr>
          <w:rFonts w:hint="eastAsia" w:ascii="仿宋_GB2312" w:hAnsi="仿宋_GB2312" w:eastAsia="仿宋_GB2312" w:cs="仿宋_GB2312"/>
        </w:rPr>
        <w:t>交易期日修正系数</w:t>
      </w:r>
    </w:p>
    <w:p>
      <w:pPr>
        <w:bidi w:val="0"/>
        <w:rPr>
          <w:rFonts w:hint="eastAsia" w:ascii="仿宋_GB2312" w:hAnsi="仿宋_GB2312" w:eastAsia="仿宋_GB2312" w:cs="仿宋_GB2312"/>
        </w:rPr>
      </w:pPr>
      <w:r>
        <w:rPr>
          <w:rFonts w:hint="eastAsia" w:ascii="仿宋_GB2312" w:hAnsi="仿宋_GB2312" w:eastAsia="仿宋_GB2312" w:cs="仿宋_GB2312"/>
        </w:rPr>
        <w:t>期日修正系数公式为：</w:t>
      </w:r>
    </w:p>
    <w:p>
      <w:pPr>
        <w:spacing w:line="324" w:lineRule="auto"/>
        <w:ind w:firstLine="560"/>
        <w:jc w:val="center"/>
        <w:rPr>
          <w:rFonts w:hint="eastAsia" w:ascii="仿宋_GB2312" w:hAnsi="仿宋_GB2312" w:eastAsia="仿宋_GB2312" w:cs="仿宋_GB2312"/>
          <w:spacing w:val="0"/>
          <w:sz w:val="28"/>
          <w:szCs w:val="28"/>
          <w:vertAlign w:val="subscript"/>
        </w:rPr>
      </w:pPr>
      <w:r>
        <w:rPr>
          <w:rFonts w:hint="eastAsia" w:ascii="仿宋_GB2312" w:hAnsi="仿宋_GB2312" w:eastAsia="仿宋_GB2312" w:cs="仿宋_GB2312"/>
          <w:spacing w:val="0"/>
          <w:position w:val="-32"/>
          <w:sz w:val="28"/>
          <w:szCs w:val="28"/>
        </w:rPr>
        <w:object>
          <v:shape id="_x0000_i1025" o:spt="75" type="#_x0000_t75" style="height:36pt;width:50.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pPr>
        <w:spacing w:line="324" w:lineRule="auto"/>
        <w:ind w:firstLine="56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式中：K</w:t>
      </w:r>
      <w:r>
        <w:rPr>
          <w:rFonts w:hint="eastAsia" w:ascii="仿宋_GB2312" w:hAnsi="仿宋_GB2312" w:eastAsia="仿宋_GB2312" w:cs="仿宋_GB2312"/>
          <w:spacing w:val="0"/>
          <w:kern w:val="0"/>
          <w:sz w:val="28"/>
          <w:szCs w:val="28"/>
          <w:vertAlign w:val="subscript"/>
        </w:rPr>
        <w:t>ij</w:t>
      </w:r>
      <w:r>
        <w:rPr>
          <w:rFonts w:hint="eastAsia" w:ascii="仿宋_GB2312" w:hAnsi="仿宋_GB2312" w:eastAsia="仿宋_GB2312" w:cs="仿宋_GB2312"/>
          <w:spacing w:val="0"/>
          <w:kern w:val="0"/>
          <w:sz w:val="28"/>
          <w:szCs w:val="28"/>
        </w:rPr>
        <w:t>—商服用地第j年数据修正到估价期日的系数；</w:t>
      </w:r>
    </w:p>
    <w:p>
      <w:pPr>
        <w:spacing w:line="324" w:lineRule="auto"/>
        <w:ind w:firstLine="1400" w:firstLineChars="50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P</w:t>
      </w:r>
      <w:r>
        <w:rPr>
          <w:rFonts w:hint="eastAsia" w:ascii="仿宋_GB2312" w:hAnsi="仿宋_GB2312" w:eastAsia="仿宋_GB2312" w:cs="仿宋_GB2312"/>
          <w:spacing w:val="0"/>
          <w:kern w:val="0"/>
          <w:sz w:val="28"/>
          <w:szCs w:val="28"/>
          <w:vertAlign w:val="subscript"/>
        </w:rPr>
        <w:t>is</w:t>
      </w:r>
      <w:r>
        <w:rPr>
          <w:rFonts w:hint="eastAsia" w:ascii="仿宋_GB2312" w:hAnsi="仿宋_GB2312" w:eastAsia="仿宋_GB2312" w:cs="仿宋_GB2312"/>
          <w:spacing w:val="0"/>
          <w:kern w:val="0"/>
          <w:sz w:val="28"/>
          <w:szCs w:val="28"/>
        </w:rPr>
        <w:t>—商服用地估价期日土地交易平均价；</w:t>
      </w:r>
    </w:p>
    <w:p>
      <w:pPr>
        <w:spacing w:line="324" w:lineRule="auto"/>
        <w:ind w:firstLine="1400" w:firstLineChars="50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P</w:t>
      </w:r>
      <w:r>
        <w:rPr>
          <w:rFonts w:hint="eastAsia" w:ascii="仿宋_GB2312" w:hAnsi="仿宋_GB2312" w:eastAsia="仿宋_GB2312" w:cs="仿宋_GB2312"/>
          <w:spacing w:val="0"/>
          <w:kern w:val="0"/>
          <w:sz w:val="28"/>
          <w:szCs w:val="28"/>
          <w:vertAlign w:val="subscript"/>
        </w:rPr>
        <w:t>ij</w:t>
      </w:r>
      <w:r>
        <w:rPr>
          <w:rFonts w:hint="eastAsia" w:ascii="仿宋_GB2312" w:hAnsi="仿宋_GB2312" w:eastAsia="仿宋_GB2312" w:cs="仿宋_GB2312"/>
          <w:spacing w:val="0"/>
          <w:kern w:val="0"/>
          <w:sz w:val="28"/>
          <w:szCs w:val="28"/>
        </w:rPr>
        <w:t>—商服用地第j年土地交易平均价。</w:t>
      </w:r>
    </w:p>
    <w:p>
      <w:pPr>
        <w:spacing w:line="324" w:lineRule="auto"/>
        <w:ind w:firstLine="560"/>
        <w:rPr>
          <w:rFonts w:hint="eastAsia" w:ascii="仿宋_GB2312" w:hAnsi="仿宋_GB2312" w:eastAsia="仿宋_GB2312" w:cs="仿宋_GB2312"/>
          <w:b/>
          <w:spacing w:val="0"/>
          <w:sz w:val="28"/>
          <w:szCs w:val="28"/>
        </w:rPr>
      </w:pPr>
      <w:r>
        <w:rPr>
          <w:rFonts w:hint="eastAsia" w:ascii="仿宋_GB2312" w:hAnsi="仿宋_GB2312" w:eastAsia="仿宋_GB2312" w:cs="仿宋_GB2312"/>
          <w:spacing w:val="0"/>
          <w:kern w:val="0"/>
          <w:sz w:val="28"/>
          <w:szCs w:val="28"/>
        </w:rPr>
        <w:t>期日修正系数计算结果见表2-3。</w:t>
      </w:r>
    </w:p>
    <w:p>
      <w:pPr>
        <w:spacing w:beforeLines="20" w:afterLines="20" w:line="324" w:lineRule="auto"/>
        <w:ind w:firstLine="0" w:firstLineChars="0"/>
        <w:jc w:val="center"/>
        <w:rPr>
          <w:rFonts w:hint="eastAsia" w:ascii="仿宋_GB2312" w:hAnsi="仿宋_GB2312" w:eastAsia="仿宋_GB2312" w:cs="仿宋_GB2312"/>
          <w:b/>
          <w:spacing w:val="0"/>
          <w:sz w:val="21"/>
          <w:szCs w:val="21"/>
        </w:rPr>
      </w:pPr>
      <w:r>
        <w:rPr>
          <w:rFonts w:hint="eastAsia" w:ascii="仿宋_GB2312" w:hAnsi="仿宋_GB2312" w:eastAsia="仿宋_GB2312" w:cs="仿宋_GB2312"/>
          <w:b/>
          <w:spacing w:val="0"/>
          <w:sz w:val="21"/>
          <w:szCs w:val="21"/>
        </w:rPr>
        <w:t>表</w:t>
      </w:r>
      <w:r>
        <w:rPr>
          <w:rFonts w:hint="eastAsia" w:ascii="仿宋_GB2312" w:hAnsi="仿宋_GB2312" w:eastAsia="仿宋_GB2312" w:cs="仿宋_GB2312"/>
          <w:b/>
          <w:sz w:val="21"/>
          <w:szCs w:val="21"/>
        </w:rPr>
        <w:t>2-3</w:t>
      </w:r>
      <w:r>
        <w:rPr>
          <w:rFonts w:hint="eastAsia" w:ascii="仿宋_GB2312" w:hAnsi="仿宋_GB2312" w:eastAsia="仿宋_GB2312" w:cs="仿宋_GB2312"/>
          <w:b/>
          <w:spacing w:val="0"/>
          <w:sz w:val="21"/>
          <w:szCs w:val="21"/>
        </w:rPr>
        <w:t>商服用地交易期日修正系数表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903"/>
        <w:gridCol w:w="899"/>
        <w:gridCol w:w="899"/>
        <w:gridCol w:w="899"/>
        <w:gridCol w:w="899"/>
        <w:gridCol w:w="899"/>
        <w:gridCol w:w="894"/>
        <w:gridCol w:w="8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pct"/>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交易期日</w:t>
            </w:r>
          </w:p>
        </w:tc>
        <w:tc>
          <w:tcPr>
            <w:tcW w:w="530"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2014</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2015</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2016</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2017</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2018</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2019</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2020</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pct"/>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53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（二）</w:t>
      </w:r>
      <w:r>
        <w:rPr>
          <w:rFonts w:hint="eastAsia" w:ascii="仿宋_GB2312" w:hAnsi="仿宋_GB2312" w:eastAsia="仿宋_GB2312" w:cs="仿宋_GB2312"/>
        </w:rPr>
        <w:t>土地使用年期修正系数</w:t>
      </w:r>
    </w:p>
    <w:p>
      <w:pPr>
        <w:bidi w:val="0"/>
        <w:rPr>
          <w:rFonts w:hint="eastAsia" w:ascii="仿宋_GB2312" w:hAnsi="仿宋_GB2312" w:eastAsia="仿宋_GB2312" w:cs="仿宋_GB2312"/>
        </w:rPr>
      </w:pPr>
      <w:r>
        <w:rPr>
          <w:rFonts w:hint="eastAsia" w:ascii="仿宋_GB2312" w:hAnsi="仿宋_GB2312" w:eastAsia="仿宋_GB2312" w:cs="仿宋_GB2312"/>
        </w:rPr>
        <w:t>有限年期使用权价格应该修正到法定最高年期地价，商服用地法定最高出让年期为40年。商服用地土地还原利率为6.55%。</w:t>
      </w:r>
    </w:p>
    <w:p>
      <w:pPr>
        <w:bidi w:val="0"/>
        <w:rPr>
          <w:rFonts w:hint="eastAsia" w:ascii="仿宋_GB2312" w:hAnsi="仿宋_GB2312" w:eastAsia="仿宋_GB2312" w:cs="仿宋_GB2312"/>
        </w:rPr>
      </w:pPr>
      <w:r>
        <w:rPr>
          <w:rFonts w:hint="eastAsia" w:ascii="仿宋_GB2312" w:hAnsi="仿宋_GB2312" w:eastAsia="仿宋_GB2312" w:cs="仿宋_GB2312"/>
        </w:rPr>
        <w:t>使用年期修正系数的计算公式为：</w:t>
      </w:r>
    </w:p>
    <w:p>
      <w:pPr>
        <w:wordWrap w:val="0"/>
        <w:ind w:firstLine="750" w:firstLineChars="268"/>
        <w:jc w:val="center"/>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object>
          <v:shape id="_x0000_i1026" o:spt="75" type="#_x0000_t75" style="height:72pt;width:87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p>
    <w:p>
      <w:pPr>
        <w:adjustRightInd w:val="0"/>
        <w:snapToGrid w:val="0"/>
        <w:spacing w:line="360" w:lineRule="auto"/>
        <w:ind w:firstLine="198" w:firstLineChars="71"/>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式中：R ——土地还原率；</w:t>
      </w:r>
    </w:p>
    <w:p>
      <w:pPr>
        <w:adjustRightInd w:val="0"/>
        <w:snapToGrid w:val="0"/>
        <w:spacing w:line="360" w:lineRule="auto"/>
        <w:ind w:firstLine="1120" w:firstLineChars="400"/>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M ——土地使用权法定最高出让年限；</w:t>
      </w:r>
    </w:p>
    <w:p>
      <w:pPr>
        <w:adjustRightInd w:val="0"/>
        <w:snapToGrid w:val="0"/>
        <w:spacing w:line="360" w:lineRule="auto"/>
        <w:ind w:firstLine="1120" w:firstLineChars="400"/>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N ——剩余使用年期；</w:t>
      </w:r>
    </w:p>
    <w:p>
      <w:pPr>
        <w:adjustRightInd w:val="0"/>
        <w:snapToGrid w:val="0"/>
        <w:spacing w:line="360" w:lineRule="auto"/>
        <w:ind w:firstLine="1120" w:firstLineChars="400"/>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Y ——使用年期修正系数。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商服用地使用年期修正系数结果见表2-4。</w:t>
      </w:r>
    </w:p>
    <w:p>
      <w:pPr>
        <w:spacing w:line="440" w:lineRule="exact"/>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sz w:val="21"/>
          <w:szCs w:val="21"/>
        </w:rPr>
        <w:t>2-4</w:t>
      </w:r>
      <w:r>
        <w:rPr>
          <w:rFonts w:hint="eastAsia" w:ascii="仿宋_GB2312" w:hAnsi="仿宋_GB2312" w:eastAsia="仿宋_GB2312" w:cs="仿宋_GB2312"/>
          <w:b/>
          <w:bCs/>
          <w:sz w:val="21"/>
          <w:szCs w:val="21"/>
        </w:rPr>
        <w:t xml:space="preserve">  商服用地使用年期修正系数表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972"/>
        <w:gridCol w:w="972"/>
        <w:gridCol w:w="972"/>
        <w:gridCol w:w="972"/>
        <w:gridCol w:w="972"/>
        <w:gridCol w:w="97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剩余使用年期（年）</w:t>
            </w:r>
          </w:p>
        </w:tc>
        <w:tc>
          <w:tcPr>
            <w:tcW w:w="570"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570"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570"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570"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70"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70"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0.0667</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0.1294</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0.1882</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0.2434</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0.2952</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0.3438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8</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9</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10</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11</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12</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0.4322</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0.4724</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0.5101</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0.5455</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0.5787</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0.6099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14</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15</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16</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17</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18</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0.6391</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0.6666</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0.6924</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0.7166</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0.7393</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0.7606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20</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21</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22</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23</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24</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0.7806</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0.7993</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0.8169</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0.8335</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0.849</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0.8635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26</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27</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28</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29</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30</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0.8772</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0.89</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0.9021</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0.9134</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0.924</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0.9339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32</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33</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34</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35</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36</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0.9432</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0.952</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0.9602</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0.968</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0.9752</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0.982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38</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39</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40</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57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0.9884</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0.9944</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570"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r>
    </w:tbl>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（三）</w:t>
      </w:r>
      <w:r>
        <w:rPr>
          <w:rFonts w:hint="eastAsia" w:ascii="仿宋_GB2312" w:hAnsi="仿宋_GB2312" w:eastAsia="仿宋_GB2312" w:cs="仿宋_GB2312"/>
        </w:rPr>
        <w:t>宗地临街状况修正系数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商服用地宗地临街状况修正体系见表2-5。</w:t>
      </w:r>
    </w:p>
    <w:p>
      <w:pPr>
        <w:adjustRightInd w:val="0"/>
        <w:snapToGrid w:val="0"/>
        <w:ind w:firstLine="446"/>
        <w:jc w:val="center"/>
        <w:rPr>
          <w:rFonts w:hint="eastAsia" w:ascii="仿宋_GB2312" w:hAnsi="仿宋_GB2312" w:eastAsia="仿宋_GB2312" w:cs="仿宋_GB2312"/>
          <w:b/>
          <w:sz w:val="21"/>
          <w:szCs w:val="21"/>
        </w:rPr>
      </w:pPr>
      <w:bookmarkStart w:id="22" w:name="_Toc401303259"/>
      <w:r>
        <w:rPr>
          <w:rFonts w:hint="eastAsia" w:ascii="仿宋_GB2312" w:hAnsi="仿宋_GB2312" w:eastAsia="仿宋_GB2312" w:cs="仿宋_GB2312"/>
          <w:b/>
          <w:sz w:val="21"/>
          <w:szCs w:val="21"/>
        </w:rPr>
        <w:t>表2-5商服用地宗地临街状况修正</w:t>
      </w:r>
      <w:bookmarkEnd w:id="22"/>
      <w:r>
        <w:rPr>
          <w:rFonts w:hint="eastAsia" w:ascii="仿宋_GB2312" w:hAnsi="仿宋_GB2312" w:eastAsia="仿宋_GB2312" w:cs="仿宋_GB2312"/>
          <w:b/>
          <w:sz w:val="21"/>
          <w:szCs w:val="21"/>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412"/>
        <w:gridCol w:w="1412"/>
        <w:gridCol w:w="1412"/>
        <w:gridCol w:w="1413"/>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30" w:hRule="exact"/>
        </w:trPr>
        <w:tc>
          <w:tcPr>
            <w:tcW w:w="764"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指标标准</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66" w:hRule="exact"/>
        </w:trPr>
        <w:tc>
          <w:tcPr>
            <w:tcW w:w="764"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w:t>
            </w:r>
          </w:p>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准说明</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街角地</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两面临街</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一面临街，距侧街30米内</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一面临街，距侧街30米外</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不临街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59" w:hRule="exact"/>
        </w:trPr>
        <w:tc>
          <w:tcPr>
            <w:tcW w:w="764"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1.060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1.030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0.970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0.940</w:t>
            </w:r>
          </w:p>
        </w:tc>
      </w:tr>
    </w:tbl>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（四）</w:t>
      </w:r>
      <w:r>
        <w:rPr>
          <w:rFonts w:hint="eastAsia" w:ascii="仿宋_GB2312" w:hAnsi="仿宋_GB2312" w:eastAsia="仿宋_GB2312" w:cs="仿宋_GB2312"/>
        </w:rPr>
        <w:t>宗地面积状况修正系数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商服用地宗地面积状况修正体系见表2-6。</w:t>
      </w:r>
      <w:bookmarkStart w:id="23" w:name="_Toc401303260"/>
    </w:p>
    <w:p>
      <w:pPr>
        <w:adjustRightInd w:val="0"/>
        <w:snapToGrid w:val="0"/>
        <w:ind w:firstLine="446"/>
        <w:jc w:val="center"/>
        <w:rPr>
          <w:rFonts w:hint="eastAsia" w:ascii="仿宋_GB2312" w:hAnsi="仿宋_GB2312" w:eastAsia="仿宋_GB2312" w:cs="仿宋_GB2312"/>
          <w:b/>
          <w:szCs w:val="21"/>
        </w:rPr>
        <w:sectPr>
          <w:pgSz w:w="11906" w:h="16838"/>
          <w:pgMar w:top="1440" w:right="1800" w:bottom="1440" w:left="1800" w:header="851" w:footer="992" w:gutter="0"/>
          <w:pgNumType w:fmt="decimal"/>
          <w:cols w:space="425" w:num="1"/>
          <w:docGrid w:type="lines" w:linePitch="312" w:charSpace="0"/>
        </w:sectPr>
      </w:pP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表2-6  商服用地宗地面积状况修正</w:t>
      </w:r>
      <w:bookmarkEnd w:id="23"/>
      <w:r>
        <w:rPr>
          <w:rFonts w:hint="eastAsia" w:ascii="仿宋_GB2312" w:hAnsi="仿宋_GB2312" w:eastAsia="仿宋_GB2312" w:cs="仿宋_GB2312"/>
          <w:b/>
          <w:sz w:val="21"/>
          <w:szCs w:val="21"/>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412"/>
        <w:gridCol w:w="1412"/>
        <w:gridCol w:w="1412"/>
        <w:gridCol w:w="1413"/>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8" w:hRule="exact"/>
        </w:trPr>
        <w:tc>
          <w:tcPr>
            <w:tcW w:w="764"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指标标准</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46" w:hRule="exact"/>
        </w:trPr>
        <w:tc>
          <w:tcPr>
            <w:tcW w:w="764"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w:t>
            </w:r>
          </w:p>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准说明</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面积适中，对土地利用极为有利</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面积对土地利用较为有利</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面积对土地利用无不良影响</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面积较小，对土地利用有一定影响</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41"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1.030</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1.015</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0.985</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0.970</w:t>
            </w:r>
          </w:p>
        </w:tc>
      </w:tr>
    </w:tbl>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（五）</w:t>
      </w:r>
      <w:r>
        <w:rPr>
          <w:rFonts w:hint="eastAsia" w:ascii="仿宋_GB2312" w:hAnsi="仿宋_GB2312" w:eastAsia="仿宋_GB2312" w:cs="仿宋_GB2312"/>
        </w:rPr>
        <w:t>宗地形状状况修正系数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商服用地宗地形状状况修正体系见表2-7。</w:t>
      </w:r>
      <w:bookmarkStart w:id="24" w:name="_Toc401303261"/>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表2-7 商服用地宗地形状状况修正</w:t>
      </w:r>
      <w:bookmarkEnd w:id="24"/>
      <w:r>
        <w:rPr>
          <w:rFonts w:hint="eastAsia" w:ascii="仿宋_GB2312" w:hAnsi="仿宋_GB2312" w:eastAsia="仿宋_GB2312" w:cs="仿宋_GB2312"/>
          <w:b/>
          <w:sz w:val="21"/>
          <w:szCs w:val="21"/>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4"/>
        <w:gridCol w:w="1434"/>
        <w:gridCol w:w="1435"/>
        <w:gridCol w:w="1434"/>
        <w:gridCol w:w="1435"/>
        <w:gridCol w:w="14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698"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指标标准</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61"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61"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698"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w:t>
            </w:r>
          </w:p>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准说明</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形状规则，对土地利用合理</w:t>
            </w:r>
          </w:p>
        </w:tc>
        <w:tc>
          <w:tcPr>
            <w:tcW w:w="861"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土地利用较为合理</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土地利用无不良影响</w:t>
            </w:r>
          </w:p>
        </w:tc>
        <w:tc>
          <w:tcPr>
            <w:tcW w:w="861"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形状不规则，对土地利用不合理</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698"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1.020</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0.980</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0.960</w:t>
            </w:r>
          </w:p>
        </w:tc>
      </w:tr>
    </w:tbl>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（六）</w:t>
      </w:r>
      <w:r>
        <w:rPr>
          <w:rFonts w:hint="eastAsia" w:ascii="仿宋_GB2312" w:hAnsi="仿宋_GB2312" w:eastAsia="仿宋_GB2312" w:cs="仿宋_GB2312"/>
        </w:rPr>
        <w:t>容积率修正</w:t>
      </w:r>
    </w:p>
    <w:p>
      <w:pPr>
        <w:bidi w:val="0"/>
        <w:rPr>
          <w:rFonts w:hint="eastAsia" w:ascii="仿宋_GB2312" w:hAnsi="仿宋_GB2312" w:eastAsia="仿宋_GB2312" w:cs="仿宋_GB2312"/>
        </w:rPr>
      </w:pPr>
      <w:r>
        <w:rPr>
          <w:rFonts w:hint="eastAsia" w:ascii="仿宋_GB2312" w:hAnsi="仿宋_GB2312" w:eastAsia="仿宋_GB2312" w:cs="仿宋_GB2312"/>
        </w:rPr>
        <w:t>基准地价是代表设定容积率水平下的地价，在进行宗地地价计算时需将基准地价修正到宗地实际容积率水平下的地价。调查不同容积率水平下的地价平均值，得出商服用地容积率修正系数。容积率修正系数的计算见公式：</w:t>
      </w:r>
    </w:p>
    <w:p>
      <w:pPr>
        <w:tabs>
          <w:tab w:val="left" w:pos="7350"/>
        </w:tabs>
        <w:ind w:firstLine="0" w:firstLineChars="0"/>
        <w:jc w:val="center"/>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drawing>
          <wp:inline distT="0" distB="0" distL="0" distR="0">
            <wp:extent cx="590550" cy="438150"/>
            <wp:effectExtent l="0" t="0" r="0" b="3175"/>
            <wp:docPr id="34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68"/>
                    <pic:cNvPicPr>
                      <a:picLocks noChangeAspect="1" noChangeArrowheads="1"/>
                    </pic:cNvPicPr>
                  </pic:nvPicPr>
                  <pic:blipFill>
                    <a:blip r:embed="rId18" cstate="print"/>
                    <a:srcRect/>
                    <a:stretch>
                      <a:fillRect/>
                    </a:stretch>
                  </pic:blipFill>
                  <pic:spPr>
                    <a:xfrm>
                      <a:off x="0" y="0"/>
                      <a:ext cx="590550" cy="438150"/>
                    </a:xfrm>
                    <a:prstGeom prst="rect">
                      <a:avLst/>
                    </a:prstGeom>
                    <a:noFill/>
                    <a:ln w="9525">
                      <a:noFill/>
                      <a:miter lim="800000"/>
                      <a:headEnd/>
                      <a:tailEnd/>
                    </a:ln>
                  </pic:spPr>
                </pic:pic>
              </a:graphicData>
            </a:graphic>
          </wp:inline>
        </w:drawing>
      </w:r>
    </w:p>
    <w:p>
      <w:pPr>
        <w:adjustRightInd w:val="0"/>
        <w:snapToGrid w:val="0"/>
        <w:spacing w:line="360" w:lineRule="auto"/>
        <w:ind w:firstLine="56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式中：</w:t>
      </w:r>
      <w:r>
        <w:rPr>
          <w:rFonts w:hint="eastAsia" w:ascii="仿宋_GB2312" w:hAnsi="仿宋_GB2312" w:eastAsia="仿宋_GB2312" w:cs="仿宋_GB2312"/>
          <w:i/>
          <w:spacing w:val="0"/>
          <w:sz w:val="28"/>
          <w:szCs w:val="28"/>
        </w:rPr>
        <w:t>K</w:t>
      </w:r>
      <w:r>
        <w:rPr>
          <w:rFonts w:hint="eastAsia" w:ascii="仿宋_GB2312" w:hAnsi="仿宋_GB2312" w:eastAsia="仿宋_GB2312" w:cs="仿宋_GB2312"/>
          <w:i/>
          <w:spacing w:val="0"/>
          <w:sz w:val="28"/>
          <w:szCs w:val="28"/>
          <w:vertAlign w:val="subscript"/>
        </w:rPr>
        <w:t>r</w:t>
      </w:r>
      <w:r>
        <w:rPr>
          <w:rFonts w:hint="eastAsia" w:ascii="仿宋_GB2312" w:hAnsi="仿宋_GB2312" w:eastAsia="仿宋_GB2312" w:cs="仿宋_GB2312"/>
          <w:spacing w:val="0"/>
          <w:sz w:val="28"/>
          <w:szCs w:val="28"/>
        </w:rPr>
        <w:t>--容积率修正系数；</w:t>
      </w:r>
    </w:p>
    <w:p>
      <w:pPr>
        <w:adjustRightInd w:val="0"/>
        <w:snapToGrid w:val="0"/>
        <w:spacing w:line="360" w:lineRule="auto"/>
        <w:ind w:firstLine="1260" w:firstLineChars="450"/>
        <w:rPr>
          <w:rFonts w:hint="eastAsia" w:ascii="仿宋_GB2312" w:hAnsi="仿宋_GB2312" w:eastAsia="仿宋_GB2312" w:cs="仿宋_GB2312"/>
          <w:spacing w:val="0"/>
          <w:sz w:val="28"/>
          <w:szCs w:val="28"/>
        </w:rPr>
      </w:pPr>
      <w:r>
        <w:rPr>
          <w:rFonts w:hint="eastAsia" w:ascii="仿宋_GB2312" w:hAnsi="仿宋_GB2312" w:eastAsia="仿宋_GB2312" w:cs="仿宋_GB2312"/>
          <w:i/>
          <w:spacing w:val="0"/>
          <w:sz w:val="28"/>
          <w:szCs w:val="28"/>
        </w:rPr>
        <w:t>P</w:t>
      </w:r>
      <w:r>
        <w:rPr>
          <w:rFonts w:hint="eastAsia" w:ascii="仿宋_GB2312" w:hAnsi="仿宋_GB2312" w:eastAsia="仿宋_GB2312" w:cs="仿宋_GB2312"/>
          <w:i/>
          <w:spacing w:val="0"/>
          <w:sz w:val="28"/>
          <w:szCs w:val="28"/>
          <w:vertAlign w:val="subscript"/>
        </w:rPr>
        <w:t>is</w:t>
      </w:r>
      <w:r>
        <w:rPr>
          <w:rFonts w:hint="eastAsia" w:ascii="仿宋_GB2312" w:hAnsi="仿宋_GB2312" w:eastAsia="仿宋_GB2312" w:cs="仿宋_GB2312"/>
          <w:spacing w:val="0"/>
          <w:sz w:val="28"/>
          <w:szCs w:val="28"/>
        </w:rPr>
        <w:t>—各类用地在规定容积率时单位面积的平均地价；</w:t>
      </w:r>
    </w:p>
    <w:p>
      <w:pPr>
        <w:adjustRightInd w:val="0"/>
        <w:snapToGrid w:val="0"/>
        <w:spacing w:line="360" w:lineRule="auto"/>
        <w:ind w:firstLine="1260" w:firstLineChars="450"/>
        <w:rPr>
          <w:rFonts w:hint="eastAsia" w:ascii="仿宋_GB2312" w:hAnsi="仿宋_GB2312" w:eastAsia="仿宋_GB2312" w:cs="仿宋_GB2312"/>
          <w:spacing w:val="0"/>
          <w:sz w:val="28"/>
          <w:szCs w:val="28"/>
        </w:rPr>
      </w:pPr>
      <w:r>
        <w:rPr>
          <w:rFonts w:hint="eastAsia" w:ascii="仿宋_GB2312" w:hAnsi="仿宋_GB2312" w:eastAsia="仿宋_GB2312" w:cs="仿宋_GB2312"/>
          <w:i/>
          <w:spacing w:val="0"/>
          <w:sz w:val="28"/>
          <w:szCs w:val="28"/>
        </w:rPr>
        <w:t>P</w:t>
      </w:r>
      <w:r>
        <w:rPr>
          <w:rFonts w:hint="eastAsia" w:ascii="仿宋_GB2312" w:hAnsi="仿宋_GB2312" w:eastAsia="仿宋_GB2312" w:cs="仿宋_GB2312"/>
          <w:i/>
          <w:spacing w:val="0"/>
          <w:sz w:val="28"/>
          <w:szCs w:val="28"/>
          <w:vertAlign w:val="subscript"/>
        </w:rPr>
        <w:t>i</w:t>
      </w:r>
      <w:r>
        <w:rPr>
          <w:rFonts w:hint="eastAsia" w:ascii="仿宋_GB2312" w:hAnsi="仿宋_GB2312" w:eastAsia="仿宋_GB2312" w:cs="仿宋_GB2312"/>
          <w:spacing w:val="0"/>
          <w:sz w:val="28"/>
          <w:szCs w:val="28"/>
        </w:rPr>
        <w:t>—各类用地某一容积率下单位面积平均地价。</w:t>
      </w:r>
    </w:p>
    <w:p>
      <w:pPr>
        <w:adjustRightInd w:val="0"/>
        <w:snapToGrid w:val="0"/>
        <w:spacing w:line="360" w:lineRule="auto"/>
        <w:ind w:firstLine="560"/>
        <w:jc w:val="left"/>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sz w:val="28"/>
          <w:szCs w:val="28"/>
        </w:rPr>
        <w:t>商服用地容积率修正系数见表</w:t>
      </w:r>
      <w:r>
        <w:rPr>
          <w:rFonts w:hint="eastAsia" w:ascii="仿宋_GB2312" w:hAnsi="仿宋_GB2312" w:eastAsia="仿宋_GB2312" w:cs="仿宋_GB2312"/>
          <w:spacing w:val="0"/>
          <w:kern w:val="0"/>
          <w:sz w:val="28"/>
          <w:szCs w:val="28"/>
        </w:rPr>
        <w:t>2-8。</w:t>
      </w:r>
    </w:p>
    <w:p>
      <w:pPr>
        <w:spacing w:line="500" w:lineRule="exact"/>
        <w:ind w:firstLine="0" w:firstLineChars="0"/>
        <w:jc w:val="center"/>
        <w:rPr>
          <w:rFonts w:hint="eastAsia" w:ascii="仿宋_GB2312" w:hAnsi="仿宋_GB2312" w:eastAsia="仿宋_GB2312" w:cs="仿宋_GB2312"/>
          <w:kern w:val="0"/>
          <w:szCs w:val="21"/>
        </w:rPr>
      </w:pPr>
    </w:p>
    <w:p>
      <w:pPr>
        <w:spacing w:line="500" w:lineRule="exact"/>
        <w:ind w:firstLine="0" w:firstLineChars="0"/>
        <w:jc w:val="center"/>
        <w:rPr>
          <w:rFonts w:hint="eastAsia" w:ascii="仿宋_GB2312" w:hAnsi="仿宋_GB2312" w:eastAsia="仿宋_GB2312" w:cs="仿宋_GB2312"/>
          <w:kern w:val="0"/>
          <w:szCs w:val="21"/>
        </w:rPr>
      </w:pPr>
    </w:p>
    <w:p>
      <w:pPr>
        <w:adjustRightInd w:val="0"/>
        <w:snapToGrid w:val="0"/>
        <w:ind w:firstLine="446"/>
        <w:jc w:val="center"/>
        <w:rPr>
          <w:rFonts w:hint="eastAsia" w:ascii="仿宋_GB2312" w:hAnsi="仿宋_GB2312" w:eastAsia="仿宋_GB2312" w:cs="仿宋_GB2312"/>
          <w:b/>
          <w:szCs w:val="21"/>
        </w:rPr>
      </w:pPr>
    </w:p>
    <w:p>
      <w:pPr>
        <w:ind w:left="0" w:leftChars="0"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表2-8  商服用地容积率修正系数表</w:t>
      </w:r>
    </w:p>
    <w:tbl>
      <w:tblPr>
        <w:tblStyle w:val="14"/>
        <w:tblW w:w="4997" w:type="pct"/>
        <w:tblInd w:w="0" w:type="dxa"/>
        <w:tblLayout w:type="autofit"/>
        <w:tblCellMar>
          <w:top w:w="0" w:type="dxa"/>
          <w:left w:w="108" w:type="dxa"/>
          <w:bottom w:w="0" w:type="dxa"/>
          <w:right w:w="108" w:type="dxa"/>
        </w:tblCellMar>
      </w:tblPr>
      <w:tblGrid>
        <w:gridCol w:w="1217"/>
        <w:gridCol w:w="1217"/>
        <w:gridCol w:w="1217"/>
        <w:gridCol w:w="1217"/>
        <w:gridCol w:w="1217"/>
        <w:gridCol w:w="1216"/>
        <w:gridCol w:w="1216"/>
      </w:tblGrid>
      <w:tr>
        <w:tblPrEx>
          <w:tblCellMar>
            <w:top w:w="0" w:type="dxa"/>
            <w:left w:w="108" w:type="dxa"/>
            <w:bottom w:w="0" w:type="dxa"/>
            <w:right w:w="108" w:type="dxa"/>
          </w:tblCellMar>
        </w:tblPrEx>
        <w:trPr>
          <w:trHeight w:val="340" w:hRule="atLeast"/>
        </w:trPr>
        <w:tc>
          <w:tcPr>
            <w:tcW w:w="714" w:type="pct"/>
            <w:tcBorders>
              <w:top w:val="doub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0.20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0.30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0.40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0.50</w:t>
            </w:r>
          </w:p>
        </w:tc>
        <w:tc>
          <w:tcPr>
            <w:tcW w:w="713"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0.60</w:t>
            </w:r>
          </w:p>
        </w:tc>
        <w:tc>
          <w:tcPr>
            <w:tcW w:w="713" w:type="pct"/>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0.70</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0.5067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0.5712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0.6350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0.6979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0.7600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0.8212 </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1.30</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0.8816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0.9412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1.0000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1.0579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1.1151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1.1713 </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1.90</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1.2268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1.2814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1.3352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1.3882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1.4404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1.4917 </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2.10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2.20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2.50</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1.5422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1.5919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1.6407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1.6887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1.7359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1.7823 </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2.90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3.10</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1.8278 </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1.8725 </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1.9164 </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1.9594 </w:t>
            </w:r>
          </w:p>
        </w:tc>
        <w:tc>
          <w:tcPr>
            <w:tcW w:w="713"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2.0016 </w:t>
            </w:r>
          </w:p>
        </w:tc>
        <w:tc>
          <w:tcPr>
            <w:tcW w:w="713" w:type="pct"/>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2.0430 </w:t>
            </w:r>
          </w:p>
        </w:tc>
      </w:tr>
    </w:tbl>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（七）</w:t>
      </w:r>
      <w:r>
        <w:rPr>
          <w:rFonts w:hint="eastAsia" w:ascii="仿宋_GB2312" w:hAnsi="仿宋_GB2312" w:eastAsia="仿宋_GB2312" w:cs="仿宋_GB2312"/>
        </w:rPr>
        <w:t>宗地基础设施配套程度修正</w:t>
      </w:r>
    </w:p>
    <w:p>
      <w:pPr>
        <w:bidi w:val="0"/>
        <w:rPr>
          <w:rFonts w:hint="eastAsia" w:ascii="仿宋_GB2312" w:hAnsi="仿宋_GB2312" w:eastAsia="仿宋_GB2312" w:cs="仿宋_GB2312"/>
        </w:rPr>
      </w:pPr>
      <w:r>
        <w:rPr>
          <w:rFonts w:hint="eastAsia" w:ascii="仿宋_GB2312" w:hAnsi="仿宋_GB2312" w:eastAsia="仿宋_GB2312" w:cs="仿宋_GB2312"/>
        </w:rPr>
        <w:t>新华镇的商服用地基准地价设施设定开发程度均达到“五通一平”条件。若宗地基础设施配套程度修正没有达到该程度，利用基准地价来评估宗地地价时就应该减去相应的开发费用，反之则加上相应的开发费用。</w:t>
      </w:r>
    </w:p>
    <w:p>
      <w:pPr>
        <w:bidi w:val="0"/>
        <w:rPr>
          <w:rFonts w:hint="eastAsia" w:ascii="仿宋_GB2312" w:hAnsi="仿宋_GB2312" w:eastAsia="仿宋_GB2312" w:cs="仿宋_GB2312"/>
        </w:rPr>
      </w:pPr>
      <w:r>
        <w:rPr>
          <w:rFonts w:hint="eastAsia" w:ascii="仿宋_GB2312" w:hAnsi="仿宋_GB2312" w:eastAsia="仿宋_GB2312" w:cs="仿宋_GB2312"/>
        </w:rPr>
        <w:t>商服用地宗地基础设施配套程度开发费用见表2-9。</w:t>
      </w:r>
    </w:p>
    <w:p>
      <w:pPr>
        <w:spacing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表</w:t>
      </w:r>
      <w:r>
        <w:rPr>
          <w:rFonts w:hint="eastAsia" w:ascii="仿宋_GB2312" w:hAnsi="仿宋_GB2312" w:eastAsia="仿宋_GB2312" w:cs="仿宋_GB2312"/>
          <w:b/>
          <w:sz w:val="21"/>
          <w:szCs w:val="21"/>
        </w:rPr>
        <w:t>2-9</w:t>
      </w:r>
      <w:r>
        <w:rPr>
          <w:rFonts w:hint="eastAsia" w:ascii="仿宋_GB2312" w:hAnsi="仿宋_GB2312" w:eastAsia="仿宋_GB2312" w:cs="仿宋_GB2312"/>
          <w:b/>
          <w:bCs/>
          <w:sz w:val="21"/>
          <w:szCs w:val="21"/>
        </w:rPr>
        <w:t xml:space="preserve">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960"/>
        <w:gridCol w:w="791"/>
        <w:gridCol w:w="803"/>
        <w:gridCol w:w="769"/>
        <w:gridCol w:w="822"/>
        <w:gridCol w:w="769"/>
        <w:gridCol w:w="82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7" w:type="pct"/>
            <w:tcBorders>
              <w:top w:val="double" w:color="auto" w:sz="4" w:space="0"/>
              <w:left w:val="doub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基础设施状况</w:t>
            </w:r>
          </w:p>
        </w:tc>
        <w:tc>
          <w:tcPr>
            <w:tcW w:w="563" w:type="pct"/>
            <w:tcBorders>
              <w:top w:val="doub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通电</w:t>
            </w:r>
          </w:p>
        </w:tc>
        <w:tc>
          <w:tcPr>
            <w:tcW w:w="464" w:type="pct"/>
            <w:tcBorders>
              <w:top w:val="doub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通上水</w:t>
            </w:r>
          </w:p>
        </w:tc>
        <w:tc>
          <w:tcPr>
            <w:tcW w:w="471" w:type="pct"/>
            <w:tcBorders>
              <w:top w:val="doub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通下水</w:t>
            </w:r>
          </w:p>
        </w:tc>
        <w:tc>
          <w:tcPr>
            <w:tcW w:w="451" w:type="pct"/>
            <w:tcBorders>
              <w:top w:val="doub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通讯</w:t>
            </w:r>
          </w:p>
        </w:tc>
        <w:tc>
          <w:tcPr>
            <w:tcW w:w="482"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通气</w:t>
            </w:r>
          </w:p>
        </w:tc>
        <w:tc>
          <w:tcPr>
            <w:tcW w:w="451"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通路</w:t>
            </w:r>
          </w:p>
        </w:tc>
        <w:tc>
          <w:tcPr>
            <w:tcW w:w="481"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通热</w:t>
            </w:r>
          </w:p>
        </w:tc>
        <w:tc>
          <w:tcPr>
            <w:tcW w:w="685" w:type="pct"/>
            <w:tcBorders>
              <w:top w:val="double" w:color="auto" w:sz="4" w:space="0"/>
              <w:left w:val="single" w:color="auto" w:sz="4" w:space="0"/>
              <w:bottom w:val="single" w:color="auto" w:sz="4" w:space="0"/>
              <w:right w:val="doub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土地平整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7" w:type="pct"/>
            <w:tcBorders>
              <w:top w:val="single" w:color="auto" w:sz="4" w:space="0"/>
              <w:left w:val="doub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开发费用</w:t>
            </w:r>
          </w:p>
        </w:tc>
        <w:tc>
          <w:tcPr>
            <w:tcW w:w="563"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64"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471"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51"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82"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51"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481"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685" w:type="pct"/>
            <w:tcBorders>
              <w:top w:val="single" w:color="auto" w:sz="4" w:space="0"/>
              <w:left w:val="single" w:color="auto" w:sz="4" w:space="0"/>
              <w:bottom w:val="double" w:color="auto" w:sz="4" w:space="0"/>
              <w:right w:val="doub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ascii="仿宋_GB2312" w:hAnsi="仿宋_GB2312" w:eastAsia="仿宋_GB2312" w:cs="仿宋_GB2312"/>
        </w:rPr>
      </w:pPr>
      <w:bookmarkStart w:id="25" w:name="_Toc11263"/>
      <w:r>
        <w:rPr>
          <w:rFonts w:hint="eastAsia" w:ascii="仿宋_GB2312" w:hAnsi="仿宋_GB2312" w:eastAsia="仿宋_GB2312" w:cs="仿宋_GB2312"/>
          <w:lang w:eastAsia="zh-CN"/>
        </w:rPr>
        <w:t>二、</w:t>
      </w:r>
      <w:r>
        <w:rPr>
          <w:rFonts w:hint="eastAsia" w:ascii="仿宋_GB2312" w:hAnsi="仿宋_GB2312" w:eastAsia="仿宋_GB2312" w:cs="仿宋_GB2312"/>
        </w:rPr>
        <w:t>住宅用地基准地价个别因素修正体系</w:t>
      </w:r>
      <w:bookmarkEnd w:id="25"/>
    </w:p>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（一）</w:t>
      </w:r>
      <w:r>
        <w:rPr>
          <w:rFonts w:hint="eastAsia" w:ascii="仿宋_GB2312" w:hAnsi="仿宋_GB2312" w:eastAsia="仿宋_GB2312" w:cs="仿宋_GB2312"/>
        </w:rPr>
        <w:t>交易期日修正系数</w:t>
      </w:r>
    </w:p>
    <w:p>
      <w:pPr>
        <w:bidi w:val="0"/>
        <w:rPr>
          <w:rFonts w:hint="eastAsia" w:ascii="仿宋_GB2312" w:hAnsi="仿宋_GB2312" w:eastAsia="仿宋_GB2312" w:cs="仿宋_GB2312"/>
        </w:rPr>
      </w:pPr>
      <w:r>
        <w:rPr>
          <w:rFonts w:hint="eastAsia" w:ascii="仿宋_GB2312" w:hAnsi="仿宋_GB2312" w:eastAsia="仿宋_GB2312" w:cs="仿宋_GB2312"/>
        </w:rPr>
        <w:t>住宅用地交易期日修正系数见表2-10。</w:t>
      </w:r>
    </w:p>
    <w:p>
      <w:pPr>
        <w:bidi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表2-10住宅用地交易期日修正系数表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903"/>
        <w:gridCol w:w="899"/>
        <w:gridCol w:w="899"/>
        <w:gridCol w:w="899"/>
        <w:gridCol w:w="899"/>
        <w:gridCol w:w="899"/>
        <w:gridCol w:w="894"/>
        <w:gridCol w:w="8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pct"/>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交易期日</w:t>
            </w:r>
          </w:p>
        </w:tc>
        <w:tc>
          <w:tcPr>
            <w:tcW w:w="530"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2014</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2015</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2016</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2017</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2018</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2019</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2020</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pct"/>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53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ascii="仿宋_GB2312" w:hAnsi="仿宋_GB2312" w:eastAsia="仿宋_GB2312" w:cs="仿宋_GB2312"/>
        </w:rPr>
      </w:pPr>
      <w:r>
        <w:rPr>
          <w:rFonts w:hint="eastAsia" w:ascii="仿宋_GB2312" w:hAnsi="仿宋_GB2312" w:eastAsia="仿宋_GB2312" w:cs="仿宋_GB2312"/>
        </w:rPr>
        <w:t>住宅用地地价的评估时日修正方法同商服用地修正方法。</w:t>
      </w:r>
    </w:p>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（二）</w:t>
      </w:r>
      <w:r>
        <w:rPr>
          <w:rFonts w:hint="eastAsia" w:ascii="仿宋_GB2312" w:hAnsi="仿宋_GB2312" w:eastAsia="仿宋_GB2312" w:cs="仿宋_GB2312"/>
        </w:rPr>
        <w:t>土地使用年期修正</w:t>
      </w:r>
    </w:p>
    <w:p>
      <w:pPr>
        <w:bidi w:val="0"/>
        <w:rPr>
          <w:rFonts w:hint="eastAsia" w:ascii="仿宋_GB2312" w:hAnsi="仿宋_GB2312" w:eastAsia="仿宋_GB2312" w:cs="仿宋_GB2312"/>
        </w:rPr>
      </w:pPr>
      <w:r>
        <w:rPr>
          <w:rFonts w:hint="eastAsia" w:ascii="仿宋_GB2312" w:hAnsi="仿宋_GB2312" w:eastAsia="仿宋_GB2312" w:cs="仿宋_GB2312"/>
        </w:rPr>
        <w:t>有限年期使用权价格应该修正到法定最高出让年期地价。住宅用地法定最高出让年期为70年，土地还原利率为5.82%。使用年期修正系数的计算公式见商服用地样点使用年期修正。住宅用地样点使用年期修正系数见表2-11。</w:t>
      </w:r>
    </w:p>
    <w:p>
      <w:pPr>
        <w:spacing w:line="324" w:lineRule="auto"/>
        <w:ind w:firstLine="446"/>
        <w:jc w:val="center"/>
        <w:rPr>
          <w:rFonts w:hint="eastAsia" w:ascii="仿宋_GB2312" w:hAnsi="仿宋_GB2312" w:eastAsia="仿宋_GB2312" w:cs="仿宋_GB2312"/>
          <w:b/>
          <w:bCs/>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sz w:val="21"/>
          <w:szCs w:val="21"/>
        </w:rPr>
        <w:t>2-11</w:t>
      </w:r>
      <w:r>
        <w:rPr>
          <w:rFonts w:hint="eastAsia" w:ascii="仿宋_GB2312" w:hAnsi="仿宋_GB2312" w:eastAsia="仿宋_GB2312" w:cs="仿宋_GB2312"/>
          <w:b/>
          <w:bCs/>
          <w:sz w:val="21"/>
          <w:szCs w:val="21"/>
        </w:rPr>
        <w:t xml:space="preserve">  住宅用地使用年期修正系数表</w:t>
      </w:r>
    </w:p>
    <w:tbl>
      <w:tblPr>
        <w:tblStyle w:val="14"/>
        <w:tblW w:w="8282"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2"/>
        <w:gridCol w:w="1080"/>
        <w:gridCol w:w="1080"/>
        <w:gridCol w:w="1080"/>
        <w:gridCol w:w="1080"/>
        <w:gridCol w:w="1080"/>
        <w:gridCol w:w="1080"/>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0.0561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0.1091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0.1591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0.2064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0.2512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0.2934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0.3333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0.3711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0.4067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0.4404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0.4723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0.5024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0.5308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0.5577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0.5831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0.6071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0.6298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0.6512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0.6714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0.6906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0.7087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0.7258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0.7419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0.7572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0.7716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0.7852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0.7981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0.8103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0.8218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0.8327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0.8429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0.8526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0.8618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0.8705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0.8787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0.8864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0.8937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0.9006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0.9072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0.9134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0.9192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0.9247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0.9299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0.9348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0.9395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0.9439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0.948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0.9557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0.9592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0.9625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0.9656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0.9686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0.9714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0.9765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0.9832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0.9871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0.9921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0.9936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0.9951</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70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0.9977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r>
    </w:tbl>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（三）</w:t>
      </w:r>
      <w:r>
        <w:rPr>
          <w:rFonts w:hint="eastAsia" w:ascii="仿宋_GB2312" w:hAnsi="仿宋_GB2312" w:eastAsia="仿宋_GB2312" w:cs="仿宋_GB2312"/>
        </w:rPr>
        <w:t>宗地面积状况修正系数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住宅用地宗地面积状况修正体系见表2-12。</w:t>
      </w:r>
    </w:p>
    <w:p>
      <w:pPr>
        <w:adjustRightInd w:val="0"/>
        <w:snapToGrid w:val="0"/>
        <w:ind w:firstLine="446"/>
        <w:jc w:val="center"/>
        <w:rPr>
          <w:rFonts w:hint="eastAsia" w:ascii="仿宋_GB2312" w:hAnsi="仿宋_GB2312" w:eastAsia="仿宋_GB2312" w:cs="仿宋_GB2312"/>
          <w:b/>
          <w:szCs w:val="21"/>
        </w:rPr>
        <w:sectPr>
          <w:pgSz w:w="11906" w:h="16838"/>
          <w:pgMar w:top="1440" w:right="1800" w:bottom="1440" w:left="1800" w:header="851" w:footer="992" w:gutter="0"/>
          <w:pgNumType w:fmt="decimal"/>
          <w:cols w:space="425" w:num="1"/>
          <w:docGrid w:type="lines" w:linePitch="312" w:charSpace="0"/>
        </w:sectPr>
      </w:pP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表2-12  住宅用地宗地面积状况修正体系</w:t>
      </w:r>
    </w:p>
    <w:tbl>
      <w:tblPr>
        <w:tblStyle w:val="14"/>
        <w:tblW w:w="507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97"/>
        <w:gridCol w:w="1414"/>
        <w:gridCol w:w="1414"/>
        <w:gridCol w:w="1414"/>
        <w:gridCol w:w="1414"/>
        <w:gridCol w:w="14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atLeast"/>
          <w:jc w:val="center"/>
        </w:trPr>
        <w:tc>
          <w:tcPr>
            <w:tcW w:w="825"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指标标准</w:t>
            </w:r>
          </w:p>
        </w:tc>
        <w:tc>
          <w:tcPr>
            <w:tcW w:w="835"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35"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35"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35"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33"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w:t>
            </w:r>
          </w:p>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准说明</w:t>
            </w:r>
          </w:p>
        </w:tc>
        <w:tc>
          <w:tcPr>
            <w:tcW w:w="835"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面积适中，对土地利用极为有利</w:t>
            </w:r>
          </w:p>
        </w:tc>
        <w:tc>
          <w:tcPr>
            <w:tcW w:w="835"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面积对土地利用较为有利</w:t>
            </w:r>
          </w:p>
        </w:tc>
        <w:tc>
          <w:tcPr>
            <w:tcW w:w="835"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面积对土地利用无不良影响</w:t>
            </w:r>
          </w:p>
        </w:tc>
        <w:tc>
          <w:tcPr>
            <w:tcW w:w="835"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面积较小，对土地利用有一定影响</w:t>
            </w:r>
          </w:p>
        </w:tc>
        <w:tc>
          <w:tcPr>
            <w:tcW w:w="833"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1.030</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1.015</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0.985</w:t>
            </w:r>
          </w:p>
        </w:tc>
        <w:tc>
          <w:tcPr>
            <w:tcW w:w="83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0.970</w:t>
            </w:r>
          </w:p>
        </w:tc>
      </w:tr>
    </w:tbl>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（四）</w:t>
      </w:r>
      <w:r>
        <w:rPr>
          <w:rFonts w:hint="eastAsia" w:ascii="仿宋_GB2312" w:hAnsi="仿宋_GB2312" w:eastAsia="仿宋_GB2312" w:cs="仿宋_GB2312"/>
        </w:rPr>
        <w:t>宗地形状状况修正系数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住宅用地地价宗地形状状况修正体系见表2-13。</w:t>
      </w: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表2-13住宅用地宗地形状状况修正体系</w:t>
      </w:r>
    </w:p>
    <w:tbl>
      <w:tblPr>
        <w:tblStyle w:val="14"/>
        <w:tblW w:w="5076" w:type="pct"/>
        <w:tblInd w:w="-12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1418"/>
        <w:gridCol w:w="1417"/>
        <w:gridCol w:w="1418"/>
        <w:gridCol w:w="1275"/>
        <w:gridCol w:w="15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8"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指标标准</w:t>
            </w:r>
          </w:p>
        </w:tc>
        <w:tc>
          <w:tcPr>
            <w:tcW w:w="838"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3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38"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753"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9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838"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w:t>
            </w:r>
          </w:p>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准说明</w:t>
            </w:r>
          </w:p>
        </w:tc>
        <w:tc>
          <w:tcPr>
            <w:tcW w:w="838"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形状规则，对土地利用</w:t>
            </w:r>
          </w:p>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合理</w:t>
            </w:r>
          </w:p>
        </w:tc>
        <w:tc>
          <w:tcPr>
            <w:tcW w:w="83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土地利用较为合理</w:t>
            </w:r>
          </w:p>
        </w:tc>
        <w:tc>
          <w:tcPr>
            <w:tcW w:w="838"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土地利用无不良影响</w:t>
            </w:r>
          </w:p>
        </w:tc>
        <w:tc>
          <w:tcPr>
            <w:tcW w:w="753"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形状不规则，对土地利用不合理</w:t>
            </w:r>
          </w:p>
        </w:tc>
        <w:tc>
          <w:tcPr>
            <w:tcW w:w="89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8"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838"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w:t>
            </w:r>
          </w:p>
        </w:tc>
        <w:tc>
          <w:tcPr>
            <w:tcW w:w="837"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1.020</w:t>
            </w:r>
          </w:p>
        </w:tc>
        <w:tc>
          <w:tcPr>
            <w:tcW w:w="838"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753"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0.980</w:t>
            </w:r>
          </w:p>
        </w:tc>
        <w:tc>
          <w:tcPr>
            <w:tcW w:w="896"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0.960</w:t>
            </w:r>
          </w:p>
        </w:tc>
      </w:tr>
    </w:tbl>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（五）</w:t>
      </w:r>
      <w:r>
        <w:rPr>
          <w:rFonts w:hint="eastAsia" w:ascii="仿宋_GB2312" w:hAnsi="仿宋_GB2312" w:eastAsia="仿宋_GB2312" w:cs="仿宋_GB2312"/>
        </w:rPr>
        <w:t>容积率修正</w:t>
      </w:r>
    </w:p>
    <w:p>
      <w:pPr>
        <w:bidi w:val="0"/>
        <w:rPr>
          <w:rFonts w:hint="eastAsia" w:ascii="仿宋_GB2312" w:hAnsi="仿宋_GB2312" w:eastAsia="仿宋_GB2312" w:cs="仿宋_GB2312"/>
        </w:rPr>
      </w:pPr>
      <w:r>
        <w:rPr>
          <w:rFonts w:hint="eastAsia" w:ascii="仿宋_GB2312" w:hAnsi="仿宋_GB2312" w:eastAsia="仿宋_GB2312" w:cs="仿宋_GB2312"/>
        </w:rPr>
        <w:t>根据基准地价内涵，住宅用地平均容积率</w:t>
      </w:r>
      <w:r>
        <w:rPr>
          <w:rFonts w:hint="eastAsia" w:ascii="仿宋_GB2312" w:hAnsi="仿宋_GB2312" w:eastAsia="仿宋_GB2312" w:cs="仿宋_GB2312"/>
          <w:lang w:val="en-US" w:eastAsia="zh-CN"/>
        </w:rPr>
        <w:t>1.0</w:t>
      </w:r>
      <w:r>
        <w:rPr>
          <w:rFonts w:hint="eastAsia" w:ascii="仿宋_GB2312" w:hAnsi="仿宋_GB2312" w:eastAsia="仿宋_GB2312" w:cs="仿宋_GB2312"/>
        </w:rPr>
        <w:t>。容积率修正系数的计算方法同商服用地。结果表2-14。对于不同容积率情况下发生的地价，修正到设定的容积率的价格。修正计算公式见商服用地容积率修正。</w:t>
      </w:r>
    </w:p>
    <w:p>
      <w:pPr>
        <w:adjustRightInd w:val="0"/>
        <w:snapToGrid w:val="0"/>
        <w:spacing w:beforeLines="20" w:afterLines="20" w:line="324" w:lineRule="auto"/>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表2-14 住宅用地容积率修正系数表</w:t>
      </w:r>
    </w:p>
    <w:tbl>
      <w:tblPr>
        <w:tblStyle w:val="14"/>
        <w:tblW w:w="4997" w:type="pct"/>
        <w:tblInd w:w="0" w:type="dxa"/>
        <w:tblLayout w:type="autofit"/>
        <w:tblCellMar>
          <w:top w:w="0" w:type="dxa"/>
          <w:left w:w="108" w:type="dxa"/>
          <w:bottom w:w="0" w:type="dxa"/>
          <w:right w:w="108" w:type="dxa"/>
        </w:tblCellMar>
      </w:tblPr>
      <w:tblGrid>
        <w:gridCol w:w="1217"/>
        <w:gridCol w:w="1217"/>
        <w:gridCol w:w="1217"/>
        <w:gridCol w:w="1217"/>
        <w:gridCol w:w="1217"/>
        <w:gridCol w:w="1216"/>
        <w:gridCol w:w="1216"/>
      </w:tblGrid>
      <w:tr>
        <w:tblPrEx>
          <w:tblCellMar>
            <w:top w:w="0" w:type="dxa"/>
            <w:left w:w="108" w:type="dxa"/>
            <w:bottom w:w="0" w:type="dxa"/>
            <w:right w:w="108" w:type="dxa"/>
          </w:tblCellMar>
        </w:tblPrEx>
        <w:trPr>
          <w:trHeight w:val="340" w:hRule="atLeast"/>
        </w:trPr>
        <w:tc>
          <w:tcPr>
            <w:tcW w:w="714" w:type="pct"/>
            <w:tcBorders>
              <w:top w:val="doub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0.20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0.30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0.40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0.50</w:t>
            </w:r>
          </w:p>
        </w:tc>
        <w:tc>
          <w:tcPr>
            <w:tcW w:w="713"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0.60</w:t>
            </w:r>
          </w:p>
        </w:tc>
        <w:tc>
          <w:tcPr>
            <w:tcW w:w="713" w:type="pct"/>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0.70</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0.4359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0.5095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0.5823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0.6542</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0.7251</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0.7952</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1.30</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0.8643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0.9326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1.0665</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1.1321</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1.1968</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1.2606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1.3235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1.3855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1.4466</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1.5068</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1.5662</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2.30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2.50</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1.6247</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1.6822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1.7389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1.7946</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1.8495</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1.9035</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2.70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2.90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3.10</w:t>
            </w:r>
          </w:p>
        </w:tc>
      </w:tr>
      <w:tr>
        <w:tblPrEx>
          <w:tblCellMar>
            <w:top w:w="0" w:type="dxa"/>
            <w:left w:w="108" w:type="dxa"/>
            <w:bottom w:w="0" w:type="dxa"/>
            <w:right w:w="108" w:type="dxa"/>
          </w:tblCellMar>
        </w:tblPrEx>
        <w:trPr>
          <w:trHeight w:val="340" w:hRule="atLeast"/>
        </w:trPr>
        <w:tc>
          <w:tcPr>
            <w:tcW w:w="714" w:type="pct"/>
            <w:tcBorders>
              <w:top w:val="single" w:color="auto" w:sz="4" w:space="0"/>
              <w:left w:val="double" w:color="auto" w:sz="4" w:space="0"/>
              <w:bottom w:val="doub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1.9566</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2.0087</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2.0600</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2.1104</w:t>
            </w:r>
          </w:p>
        </w:tc>
        <w:tc>
          <w:tcPr>
            <w:tcW w:w="713"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2.1600</w:t>
            </w:r>
          </w:p>
        </w:tc>
        <w:tc>
          <w:tcPr>
            <w:tcW w:w="713" w:type="pct"/>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2.2086</w:t>
            </w:r>
          </w:p>
        </w:tc>
      </w:tr>
    </w:tbl>
    <w:p>
      <w:pPr>
        <w:bidi w:val="0"/>
        <w:rPr>
          <w:rFonts w:hint="eastAsia" w:ascii="仿宋_GB2312" w:hAnsi="仿宋_GB2312" w:eastAsia="仿宋_GB2312" w:cs="仿宋_GB2312"/>
        </w:rPr>
      </w:pPr>
      <w:r>
        <w:rPr>
          <w:rFonts w:hint="eastAsia" w:ascii="仿宋_GB2312" w:hAnsi="仿宋_GB2312" w:eastAsia="仿宋_GB2312" w:cs="仿宋_GB2312"/>
        </w:rPr>
        <w:t>①容积率小于或等于0.2时按容积率等于0.2时的计算；容积率大于或等于3.1时按容积率等于3.1时的计算。②当容积率介于上述所列的容积率之间时，可用直线内插法确定其对应的修正系数。</w:t>
      </w:r>
    </w:p>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（六）</w:t>
      </w:r>
      <w:r>
        <w:rPr>
          <w:rFonts w:hint="eastAsia" w:ascii="仿宋_GB2312" w:hAnsi="仿宋_GB2312" w:eastAsia="仿宋_GB2312" w:cs="仿宋_GB2312"/>
        </w:rPr>
        <w:t>基础设施修正</w:t>
      </w:r>
    </w:p>
    <w:p>
      <w:pPr>
        <w:bidi w:val="0"/>
        <w:rPr>
          <w:rFonts w:hint="eastAsia" w:ascii="仿宋_GB2312" w:hAnsi="仿宋_GB2312" w:eastAsia="仿宋_GB2312" w:cs="仿宋_GB2312"/>
        </w:rPr>
      </w:pPr>
      <w:r>
        <w:rPr>
          <w:rFonts w:hint="eastAsia" w:ascii="仿宋_GB2312" w:hAnsi="仿宋_GB2312" w:eastAsia="仿宋_GB2312" w:cs="仿宋_GB2312"/>
        </w:rPr>
        <w:t>新华镇的住宅用地基准地价设施设定开发程度均达到“五通一平”条件。若宗地基础设施配套程度修正没有达到该程度，利用基准地价来评估宗地地价时就应该减去相应的开发费用，反之则加上相应的开发费用。</w:t>
      </w:r>
    </w:p>
    <w:p>
      <w:pPr>
        <w:bidi w:val="0"/>
        <w:rPr>
          <w:rFonts w:hint="eastAsia" w:ascii="仿宋_GB2312" w:hAnsi="仿宋_GB2312" w:eastAsia="仿宋_GB2312" w:cs="仿宋_GB2312"/>
        </w:rPr>
      </w:pPr>
      <w:r>
        <w:rPr>
          <w:rFonts w:hint="eastAsia" w:ascii="仿宋_GB2312" w:hAnsi="仿宋_GB2312" w:eastAsia="仿宋_GB2312" w:cs="仿宋_GB2312"/>
        </w:rPr>
        <w:t>住宅用地宗地基础设施配套程度开发费用见表2-15。</w:t>
      </w:r>
    </w:p>
    <w:p>
      <w:pPr>
        <w:spacing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表</w:t>
      </w:r>
      <w:r>
        <w:rPr>
          <w:rFonts w:hint="eastAsia" w:ascii="仿宋_GB2312" w:hAnsi="仿宋_GB2312" w:eastAsia="仿宋_GB2312" w:cs="仿宋_GB2312"/>
          <w:b/>
          <w:sz w:val="21"/>
          <w:szCs w:val="21"/>
        </w:rPr>
        <w:t>2-15</w:t>
      </w:r>
      <w:r>
        <w:rPr>
          <w:rFonts w:hint="eastAsia" w:ascii="仿宋_GB2312" w:hAnsi="仿宋_GB2312" w:eastAsia="仿宋_GB2312" w:cs="仿宋_GB2312"/>
          <w:b/>
          <w:bCs/>
          <w:sz w:val="21"/>
          <w:szCs w:val="21"/>
        </w:rPr>
        <w:t xml:space="preserve">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794"/>
        <w:gridCol w:w="897"/>
        <w:gridCol w:w="956"/>
        <w:gridCol w:w="690"/>
        <w:gridCol w:w="822"/>
        <w:gridCol w:w="769"/>
        <w:gridCol w:w="82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8" w:type="pct"/>
            <w:tcBorders>
              <w:top w:val="double" w:color="auto" w:sz="4" w:space="0"/>
              <w:left w:val="doub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基础设施状况</w:t>
            </w:r>
          </w:p>
        </w:tc>
        <w:tc>
          <w:tcPr>
            <w:tcW w:w="466"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通电</w:t>
            </w:r>
          </w:p>
        </w:tc>
        <w:tc>
          <w:tcPr>
            <w:tcW w:w="526"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通上水</w:t>
            </w:r>
          </w:p>
        </w:tc>
        <w:tc>
          <w:tcPr>
            <w:tcW w:w="561"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通下水</w:t>
            </w:r>
          </w:p>
        </w:tc>
        <w:tc>
          <w:tcPr>
            <w:tcW w:w="405"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通讯</w:t>
            </w:r>
          </w:p>
        </w:tc>
        <w:tc>
          <w:tcPr>
            <w:tcW w:w="482"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通气</w:t>
            </w:r>
          </w:p>
        </w:tc>
        <w:tc>
          <w:tcPr>
            <w:tcW w:w="451"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通路</w:t>
            </w:r>
          </w:p>
        </w:tc>
        <w:tc>
          <w:tcPr>
            <w:tcW w:w="481"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通热</w:t>
            </w:r>
          </w:p>
        </w:tc>
        <w:tc>
          <w:tcPr>
            <w:tcW w:w="686" w:type="pct"/>
            <w:tcBorders>
              <w:top w:val="double" w:color="auto" w:sz="4" w:space="0"/>
              <w:left w:val="single" w:color="auto" w:sz="4" w:space="0"/>
              <w:bottom w:val="single" w:color="auto" w:sz="4" w:space="0"/>
              <w:right w:val="doub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土地平整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8" w:type="pct"/>
            <w:tcBorders>
              <w:top w:val="single" w:color="auto" w:sz="4" w:space="0"/>
              <w:left w:val="double" w:color="auto" w:sz="4" w:space="0"/>
              <w:bottom w:val="doub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开发费用</w:t>
            </w:r>
          </w:p>
        </w:tc>
        <w:tc>
          <w:tcPr>
            <w:tcW w:w="466"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526"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561"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05"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82"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51"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481"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686" w:type="pct"/>
            <w:tcBorders>
              <w:top w:val="single" w:color="auto" w:sz="4" w:space="0"/>
              <w:left w:val="single" w:color="auto" w:sz="4" w:space="0"/>
              <w:bottom w:val="double" w:color="auto" w:sz="4" w:space="0"/>
              <w:right w:val="doub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ascii="仿宋_GB2312" w:hAnsi="仿宋_GB2312" w:eastAsia="仿宋_GB2312" w:cs="仿宋_GB2312"/>
        </w:rPr>
      </w:pPr>
      <w:bookmarkStart w:id="26" w:name="_Toc31453"/>
      <w:r>
        <w:rPr>
          <w:rFonts w:hint="eastAsia" w:ascii="仿宋_GB2312" w:hAnsi="仿宋_GB2312" w:eastAsia="仿宋_GB2312" w:cs="仿宋_GB2312"/>
          <w:lang w:eastAsia="zh-CN"/>
        </w:rPr>
        <w:t>三、</w:t>
      </w:r>
      <w:r>
        <w:rPr>
          <w:rFonts w:hint="eastAsia" w:ascii="仿宋_GB2312" w:hAnsi="仿宋_GB2312" w:eastAsia="仿宋_GB2312" w:cs="仿宋_GB2312"/>
        </w:rPr>
        <w:t>工业用地基准地价个别因素修正体系</w:t>
      </w:r>
      <w:bookmarkEnd w:id="26"/>
    </w:p>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（一）</w:t>
      </w:r>
      <w:r>
        <w:rPr>
          <w:rFonts w:hint="eastAsia" w:ascii="仿宋_GB2312" w:hAnsi="仿宋_GB2312" w:eastAsia="仿宋_GB2312" w:cs="仿宋_GB2312"/>
        </w:rPr>
        <w:t>交易期日修正系数</w:t>
      </w:r>
    </w:p>
    <w:p>
      <w:pPr>
        <w:bidi w:val="0"/>
        <w:rPr>
          <w:rFonts w:hint="eastAsia" w:ascii="仿宋_GB2312" w:hAnsi="仿宋_GB2312" w:eastAsia="仿宋_GB2312" w:cs="仿宋_GB2312"/>
        </w:rPr>
      </w:pPr>
      <w:r>
        <w:rPr>
          <w:rFonts w:hint="eastAsia" w:ascii="仿宋_GB2312" w:hAnsi="仿宋_GB2312" w:eastAsia="仿宋_GB2312" w:cs="仿宋_GB2312"/>
        </w:rPr>
        <w:t>工业用地交易期日修正系数见表2-16。</w:t>
      </w: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表2-16工业用地交易期日修正系数表（环比）</w:t>
      </w:r>
    </w:p>
    <w:tbl>
      <w:tblPr>
        <w:tblStyle w:val="14"/>
        <w:tblW w:w="87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924"/>
        <w:gridCol w:w="919"/>
        <w:gridCol w:w="919"/>
        <w:gridCol w:w="919"/>
        <w:gridCol w:w="919"/>
        <w:gridCol w:w="919"/>
        <w:gridCol w:w="914"/>
        <w:gridCol w:w="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交易期日</w:t>
            </w:r>
          </w:p>
        </w:tc>
        <w:tc>
          <w:tcPr>
            <w:tcW w:w="92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2014</w:t>
            </w:r>
          </w:p>
        </w:tc>
        <w:tc>
          <w:tcPr>
            <w:tcW w:w="919"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2015</w:t>
            </w:r>
          </w:p>
        </w:tc>
        <w:tc>
          <w:tcPr>
            <w:tcW w:w="919"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2016</w:t>
            </w:r>
          </w:p>
        </w:tc>
        <w:tc>
          <w:tcPr>
            <w:tcW w:w="919"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2017</w:t>
            </w:r>
          </w:p>
        </w:tc>
        <w:tc>
          <w:tcPr>
            <w:tcW w:w="919"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2018</w:t>
            </w:r>
          </w:p>
        </w:tc>
        <w:tc>
          <w:tcPr>
            <w:tcW w:w="919"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2019</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2020</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ascii="仿宋_GB2312" w:hAnsi="仿宋_GB2312" w:eastAsia="仿宋_GB2312" w:cs="仿宋_GB2312"/>
        </w:rPr>
      </w:pPr>
      <w:r>
        <w:rPr>
          <w:rFonts w:hint="eastAsia" w:ascii="仿宋_GB2312" w:hAnsi="仿宋_GB2312" w:eastAsia="仿宋_GB2312" w:cs="仿宋_GB2312"/>
        </w:rPr>
        <w:t>工业用地地价的评估时日修正方法同商服用地修正方法。</w:t>
      </w:r>
    </w:p>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（二）</w:t>
      </w:r>
      <w:r>
        <w:rPr>
          <w:rFonts w:hint="eastAsia" w:ascii="仿宋_GB2312" w:hAnsi="仿宋_GB2312" w:eastAsia="仿宋_GB2312" w:cs="仿宋_GB2312"/>
        </w:rPr>
        <w:t>土地使用年期修正</w:t>
      </w:r>
    </w:p>
    <w:p>
      <w:pPr>
        <w:bidi w:val="0"/>
        <w:rPr>
          <w:rFonts w:hint="eastAsia" w:ascii="仿宋_GB2312" w:hAnsi="仿宋_GB2312" w:eastAsia="仿宋_GB2312" w:cs="仿宋_GB2312"/>
        </w:rPr>
      </w:pPr>
      <w:r>
        <w:rPr>
          <w:rFonts w:hint="eastAsia" w:ascii="仿宋_GB2312" w:hAnsi="仿宋_GB2312" w:eastAsia="仿宋_GB2312" w:cs="仿宋_GB2312"/>
        </w:rPr>
        <w:t>按照工业用地土地还原率4.85%，法定最高出让年期为50年，计算工业用地使用年期修正系数，工业用地使用年期修正系数计算过程参见商服用地年期修正。</w:t>
      </w:r>
    </w:p>
    <w:p>
      <w:pPr>
        <w:adjustRightInd w:val="0"/>
        <w:snapToGrid w:val="0"/>
        <w:ind w:firstLine="700" w:firstLineChars="250"/>
        <w:jc w:val="left"/>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sz w:val="28"/>
          <w:szCs w:val="28"/>
        </w:rPr>
        <w:t>工业用地地价土地使用权可使用年期地价修正系数见表</w:t>
      </w:r>
      <w:r>
        <w:rPr>
          <w:rFonts w:hint="eastAsia" w:ascii="仿宋_GB2312" w:hAnsi="仿宋_GB2312" w:eastAsia="仿宋_GB2312" w:cs="仿宋_GB2312"/>
          <w:spacing w:val="0"/>
          <w:kern w:val="0"/>
          <w:sz w:val="28"/>
          <w:szCs w:val="28"/>
        </w:rPr>
        <w:t>2-17。</w:t>
      </w:r>
    </w:p>
    <w:p>
      <w:pPr>
        <w:ind w:firstLine="0" w:firstLineChars="0"/>
        <w:jc w:val="center"/>
        <w:rPr>
          <w:rFonts w:hint="eastAsia" w:ascii="仿宋_GB2312" w:hAnsi="仿宋_GB2312" w:eastAsia="仿宋_GB2312" w:cs="仿宋_GB2312"/>
          <w:b/>
          <w:sz w:val="21"/>
          <w:szCs w:val="16"/>
        </w:rPr>
      </w:pPr>
      <w:r>
        <w:rPr>
          <w:rFonts w:hint="eastAsia" w:ascii="仿宋_GB2312" w:hAnsi="仿宋_GB2312" w:eastAsia="仿宋_GB2312" w:cs="仿宋_GB2312"/>
          <w:b/>
          <w:sz w:val="21"/>
          <w:szCs w:val="16"/>
        </w:rPr>
        <w:t>表2-17  工业用地使用年期修正系数表</w:t>
      </w:r>
    </w:p>
    <w:tbl>
      <w:tblPr>
        <w:tblStyle w:val="14"/>
        <w:tblW w:w="8328"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1524"/>
        <w:gridCol w:w="1134"/>
        <w:gridCol w:w="1134"/>
        <w:gridCol w:w="1134"/>
        <w:gridCol w:w="1134"/>
        <w:gridCol w:w="1134"/>
        <w:gridCol w:w="113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0.051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0.0997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0.1461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0.1904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0.2326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0.2729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0.3113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0.348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0.3829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0.4162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0.448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0.4783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0.5072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0.5348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0.5611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0.5862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0.6101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0.6329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0.6547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0.6754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0.6952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0.7141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0.7321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0.7493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0.7657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0.7813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0.7962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0.8104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0.8239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0.8369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0.8492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0.861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0.8722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0.8829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0.8931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0.9028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0.9121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0.9209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0.9293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0.9374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0.9451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0.9524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0.9594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0.966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0.9724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0.9784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0.9842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0.9897</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0.995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bl>
    <w:p>
      <w:pPr>
        <w:pStyle w:val="2"/>
        <w:bidi w:val="0"/>
        <w:rPr>
          <w:rFonts w:hint="eastAsia" w:ascii="仿宋_GB2312" w:hAnsi="仿宋_GB2312" w:eastAsia="仿宋_GB2312" w:cs="仿宋_GB2312"/>
        </w:rPr>
      </w:pPr>
      <w:r>
        <w:rPr>
          <w:rFonts w:hint="eastAsia" w:ascii="仿宋_GB2312" w:hAnsi="仿宋_GB2312" w:eastAsia="仿宋_GB2312" w:cs="仿宋_GB2312"/>
          <w:lang w:val="en-US" w:eastAsia="zh-CN"/>
        </w:rPr>
        <w:t>（三）</w:t>
      </w:r>
      <w:r>
        <w:rPr>
          <w:rFonts w:hint="eastAsia" w:ascii="仿宋_GB2312" w:hAnsi="仿宋_GB2312" w:eastAsia="仿宋_GB2312" w:cs="仿宋_GB2312"/>
        </w:rPr>
        <w:t>基础设施修正</w:t>
      </w:r>
    </w:p>
    <w:p>
      <w:pPr>
        <w:bidi w:val="0"/>
        <w:rPr>
          <w:rFonts w:hint="eastAsia" w:ascii="仿宋_GB2312" w:hAnsi="仿宋_GB2312" w:eastAsia="仿宋_GB2312" w:cs="仿宋_GB2312"/>
        </w:rPr>
      </w:pPr>
      <w:r>
        <w:rPr>
          <w:rFonts w:hint="eastAsia" w:ascii="仿宋_GB2312" w:hAnsi="仿宋_GB2312" w:eastAsia="仿宋_GB2312" w:cs="仿宋_GB2312"/>
        </w:rPr>
        <w:t>新华镇的工业用地基准地价设施设定开发程度均达到“四通一平”条件。若宗地基础设施配套程度修正没有达到该程度，利用基准地价来评估宗地地价时就应该减去相应的开发费用，反之则加上相应的开发费用。</w:t>
      </w:r>
    </w:p>
    <w:p>
      <w:pPr>
        <w:bidi w:val="0"/>
        <w:rPr>
          <w:rFonts w:hint="eastAsia" w:ascii="仿宋_GB2312" w:hAnsi="仿宋_GB2312" w:eastAsia="仿宋_GB2312" w:cs="仿宋_GB2312"/>
        </w:rPr>
      </w:pPr>
      <w:r>
        <w:rPr>
          <w:rFonts w:hint="eastAsia" w:ascii="仿宋_GB2312" w:hAnsi="仿宋_GB2312" w:eastAsia="仿宋_GB2312" w:cs="仿宋_GB2312"/>
        </w:rPr>
        <w:t>工业用地宗地基础设施配套程度开发费用见表2-18。</w:t>
      </w:r>
    </w:p>
    <w:p>
      <w:pPr>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sz w:val="21"/>
          <w:szCs w:val="21"/>
        </w:rPr>
        <w:t>2-18</w:t>
      </w:r>
      <w:r>
        <w:rPr>
          <w:rFonts w:hint="eastAsia" w:ascii="仿宋_GB2312" w:hAnsi="仿宋_GB2312" w:eastAsia="仿宋_GB2312" w:cs="仿宋_GB2312"/>
          <w:b/>
          <w:bCs/>
          <w:sz w:val="21"/>
          <w:szCs w:val="21"/>
        </w:rPr>
        <w:t xml:space="preserve">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960"/>
        <w:gridCol w:w="791"/>
        <w:gridCol w:w="803"/>
        <w:gridCol w:w="769"/>
        <w:gridCol w:w="822"/>
        <w:gridCol w:w="769"/>
        <w:gridCol w:w="82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7" w:type="pct"/>
            <w:tcBorders>
              <w:top w:val="double" w:color="auto" w:sz="4" w:space="0"/>
              <w:left w:val="doub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bookmarkStart w:id="27" w:name="_Toc492385479"/>
            <w:bookmarkStart w:id="28" w:name="_Toc438149092"/>
            <w:bookmarkStart w:id="29" w:name="_Toc438149410"/>
            <w:r>
              <w:rPr>
                <w:rFonts w:hint="eastAsia" w:ascii="仿宋_GB2312" w:hAnsi="仿宋_GB2312" w:eastAsia="仿宋_GB2312" w:cs="仿宋_GB2312"/>
                <w:b/>
                <w:bCs/>
                <w:kern w:val="0"/>
                <w:sz w:val="21"/>
                <w:szCs w:val="21"/>
              </w:rPr>
              <w:t>基础设施状况</w:t>
            </w:r>
          </w:p>
        </w:tc>
        <w:tc>
          <w:tcPr>
            <w:tcW w:w="563"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通电</w:t>
            </w:r>
          </w:p>
        </w:tc>
        <w:tc>
          <w:tcPr>
            <w:tcW w:w="464"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通上水</w:t>
            </w:r>
          </w:p>
        </w:tc>
        <w:tc>
          <w:tcPr>
            <w:tcW w:w="471"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通下水</w:t>
            </w:r>
          </w:p>
        </w:tc>
        <w:tc>
          <w:tcPr>
            <w:tcW w:w="451"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通讯</w:t>
            </w:r>
          </w:p>
        </w:tc>
        <w:tc>
          <w:tcPr>
            <w:tcW w:w="482"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通气</w:t>
            </w:r>
          </w:p>
        </w:tc>
        <w:tc>
          <w:tcPr>
            <w:tcW w:w="451"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通路</w:t>
            </w:r>
          </w:p>
        </w:tc>
        <w:tc>
          <w:tcPr>
            <w:tcW w:w="481" w:type="pct"/>
            <w:tcBorders>
              <w:top w:val="doub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通热</w:t>
            </w:r>
          </w:p>
        </w:tc>
        <w:tc>
          <w:tcPr>
            <w:tcW w:w="685" w:type="pct"/>
            <w:tcBorders>
              <w:top w:val="double" w:color="auto" w:sz="4" w:space="0"/>
              <w:left w:val="single" w:color="auto" w:sz="4" w:space="0"/>
              <w:bottom w:val="single" w:color="auto" w:sz="4" w:space="0"/>
              <w:right w:val="doub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土地平整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7" w:type="pct"/>
            <w:tcBorders>
              <w:top w:val="single" w:color="auto" w:sz="4" w:space="0"/>
              <w:left w:val="doub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开发费用</w:t>
            </w:r>
          </w:p>
        </w:tc>
        <w:tc>
          <w:tcPr>
            <w:tcW w:w="563"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64"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471"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51"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82"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51"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481" w:type="pct"/>
            <w:tcBorders>
              <w:top w:val="single" w:color="auto" w:sz="4" w:space="0"/>
              <w:left w:val="single" w:color="auto" w:sz="4" w:space="0"/>
              <w:bottom w:val="double" w:color="auto" w:sz="4" w:space="0"/>
              <w:right w:val="sing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685" w:type="pct"/>
            <w:tcBorders>
              <w:top w:val="single" w:color="auto" w:sz="4" w:space="0"/>
              <w:left w:val="single" w:color="auto" w:sz="4" w:space="0"/>
              <w:bottom w:val="double" w:color="auto" w:sz="4" w:space="0"/>
              <w:right w:val="double" w:color="auto" w:sz="4" w:space="0"/>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ascii="仿宋_GB2312" w:hAnsi="仿宋_GB2312" w:eastAsia="仿宋_GB2312" w:cs="仿宋_GB2312"/>
        </w:rPr>
      </w:pPr>
      <w:bookmarkStart w:id="30" w:name="_Toc23223"/>
      <w:r>
        <w:rPr>
          <w:rFonts w:hint="eastAsia" w:ascii="仿宋_GB2312" w:hAnsi="仿宋_GB2312" w:eastAsia="仿宋_GB2312" w:cs="仿宋_GB2312"/>
          <w:lang w:eastAsia="zh-CN"/>
        </w:rPr>
        <w:t>四、</w:t>
      </w:r>
      <w:r>
        <w:rPr>
          <w:rFonts w:hint="eastAsia" w:ascii="仿宋_GB2312" w:hAnsi="仿宋_GB2312" w:eastAsia="仿宋_GB2312" w:cs="仿宋_GB2312"/>
        </w:rPr>
        <w:t>修正系数表及因素指标说明表编制</w:t>
      </w:r>
      <w:bookmarkEnd w:id="27"/>
      <w:bookmarkEnd w:id="28"/>
      <w:bookmarkEnd w:id="29"/>
      <w:bookmarkEnd w:id="30"/>
    </w:p>
    <w:p>
      <w:pPr>
        <w:bidi w:val="0"/>
        <w:rPr>
          <w:rFonts w:hint="eastAsia" w:ascii="仿宋_GB2312" w:hAnsi="仿宋_GB2312" w:eastAsia="仿宋_GB2312" w:cs="仿宋_GB2312"/>
        </w:rPr>
      </w:pPr>
      <w:r>
        <w:rPr>
          <w:rFonts w:hint="eastAsia" w:ascii="仿宋_GB2312" w:hAnsi="仿宋_GB2312" w:eastAsia="仿宋_GB2312" w:cs="仿宋_GB2312"/>
        </w:rPr>
        <w:t>根据上述结果，以土地级别和土地用途为表头，优劣程度为主栏，影响地价的修正因素为副栏，分别编制新华镇各级别商服用地、住宅用地、工业用地区位影响因素说明表和相对应修正系数表。</w:t>
      </w:r>
    </w:p>
    <w:p>
      <w:pPr>
        <w:pStyle w:val="18"/>
        <w:rPr>
          <w:rFonts w:hint="eastAsia" w:ascii="仿宋_GB2312" w:hAnsi="仿宋_GB2312" w:eastAsia="仿宋_GB2312" w:cs="仿宋_GB2312"/>
          <w:sz w:val="21"/>
          <w:szCs w:val="16"/>
        </w:rPr>
      </w:pPr>
      <w:r>
        <w:rPr>
          <w:rFonts w:hint="eastAsia" w:ascii="仿宋_GB2312" w:hAnsi="仿宋_GB2312" w:eastAsia="仿宋_GB2312" w:cs="仿宋_GB2312"/>
          <w:sz w:val="21"/>
          <w:szCs w:val="16"/>
        </w:rPr>
        <w:t>表2-19新华镇Ⅰ级商服用地区位因素修正系数指标说明表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414"/>
        <w:gridCol w:w="1147"/>
        <w:gridCol w:w="1161"/>
        <w:gridCol w:w="1706"/>
        <w:gridCol w:w="1108"/>
        <w:gridCol w:w="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因素</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素层</w:t>
            </w: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0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5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67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&lt;70</w:t>
            </w:r>
          </w:p>
        </w:tc>
        <w:tc>
          <w:tcPr>
            <w:tcW w:w="68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70-140</w:t>
            </w:r>
          </w:p>
        </w:tc>
        <w:tc>
          <w:tcPr>
            <w:tcW w:w="100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140-210</w:t>
            </w:r>
          </w:p>
        </w:tc>
        <w:tc>
          <w:tcPr>
            <w:tcW w:w="65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210-280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&gt;280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0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5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0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5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0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5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7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&lt;60</w:t>
            </w:r>
          </w:p>
        </w:tc>
        <w:tc>
          <w:tcPr>
            <w:tcW w:w="68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60-120</w:t>
            </w:r>
          </w:p>
        </w:tc>
        <w:tc>
          <w:tcPr>
            <w:tcW w:w="100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120-180</w:t>
            </w:r>
          </w:p>
        </w:tc>
        <w:tc>
          <w:tcPr>
            <w:tcW w:w="65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180-240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&gt;240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100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65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0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5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表2-20 新华镇Ⅰ级商服用地基准地价修正系数表</w:t>
      </w:r>
    </w:p>
    <w:tbl>
      <w:tblPr>
        <w:tblStyle w:val="14"/>
        <w:tblW w:w="500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3"/>
        <w:gridCol w:w="1220"/>
        <w:gridCol w:w="1220"/>
        <w:gridCol w:w="1221"/>
        <w:gridCol w:w="1221"/>
        <w:gridCol w:w="1221"/>
        <w:gridCol w:w="12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-0.0237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0.0153</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-0.0085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-0.0062</w:t>
            </w:r>
          </w:p>
        </w:tc>
      </w:tr>
    </w:tbl>
    <w:p>
      <w:pPr>
        <w:ind w:firstLine="446"/>
        <w:rPr>
          <w:rFonts w:hint="eastAsia" w:ascii="仿宋_GB2312" w:hAnsi="仿宋_GB2312" w:eastAsia="仿宋_GB2312" w:cs="仿宋_GB2312"/>
          <w:b/>
          <w:szCs w:val="21"/>
        </w:rPr>
      </w:pPr>
      <w:r>
        <w:rPr>
          <w:rFonts w:hint="eastAsia" w:ascii="仿宋_GB2312" w:hAnsi="仿宋_GB2312" w:eastAsia="仿宋_GB2312" w:cs="仿宋_GB2312"/>
          <w:b/>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表2-21 新华镇Ⅱ级商服用地区位因素修正系数指标说明表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2"/>
        <w:gridCol w:w="1412"/>
        <w:gridCol w:w="1147"/>
        <w:gridCol w:w="1148"/>
        <w:gridCol w:w="1750"/>
        <w:gridCol w:w="1080"/>
        <w:gridCol w:w="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因素层</w:t>
            </w:r>
          </w:p>
        </w:tc>
        <w:tc>
          <w:tcPr>
            <w:tcW w:w="82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7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2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67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&lt;200</w:t>
            </w:r>
          </w:p>
        </w:tc>
        <w:tc>
          <w:tcPr>
            <w:tcW w:w="6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200-330</w:t>
            </w:r>
          </w:p>
        </w:tc>
        <w:tc>
          <w:tcPr>
            <w:tcW w:w="10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330-460</w:t>
            </w:r>
          </w:p>
        </w:tc>
        <w:tc>
          <w:tcPr>
            <w:tcW w:w="63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460-590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7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&lt;180</w:t>
            </w:r>
          </w:p>
        </w:tc>
        <w:tc>
          <w:tcPr>
            <w:tcW w:w="6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180-300</w:t>
            </w:r>
          </w:p>
        </w:tc>
        <w:tc>
          <w:tcPr>
            <w:tcW w:w="10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300-420</w:t>
            </w:r>
          </w:p>
        </w:tc>
        <w:tc>
          <w:tcPr>
            <w:tcW w:w="63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420-540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10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表2-22 新华镇Ⅱ级商服用地基准地价修正系数表</w:t>
      </w:r>
    </w:p>
    <w:tbl>
      <w:tblPr>
        <w:tblStyle w:val="14"/>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1"/>
        <w:gridCol w:w="1216"/>
        <w:gridCol w:w="1217"/>
        <w:gridCol w:w="1217"/>
        <w:gridCol w:w="1217"/>
        <w:gridCol w:w="1217"/>
        <w:gridCol w:w="12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-0.0178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-0.0356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0.0092</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-0.0128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-0.0255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-0.0094</w:t>
            </w:r>
          </w:p>
        </w:tc>
      </w:tr>
    </w:tbl>
    <w:p>
      <w:pPr>
        <w:spacing w:line="324" w:lineRule="auto"/>
        <w:ind w:firstLine="446"/>
        <w:jc w:val="center"/>
        <w:rPr>
          <w:rFonts w:hint="eastAsia" w:ascii="仿宋_GB2312" w:hAnsi="仿宋_GB2312" w:eastAsia="仿宋_GB2312" w:cs="仿宋_GB2312"/>
          <w:b/>
          <w:sz w:val="21"/>
          <w:szCs w:val="21"/>
        </w:rPr>
      </w:pPr>
    </w:p>
    <w:p>
      <w:pPr>
        <w:spacing w:line="324" w:lineRule="auto"/>
        <w:ind w:firstLine="0" w:firstLineChars="0"/>
        <w:rPr>
          <w:rFonts w:hint="eastAsia" w:ascii="仿宋_GB2312" w:hAnsi="仿宋_GB2312" w:eastAsia="仿宋_GB2312" w:cs="仿宋_GB2312"/>
          <w:b/>
          <w:sz w:val="21"/>
          <w:szCs w:val="21"/>
        </w:rPr>
      </w:pPr>
    </w:p>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表2-23新华镇Ⅲ级商服用地区位因素修正系数指标说明表</w:t>
      </w:r>
    </w:p>
    <w:tbl>
      <w:tblPr>
        <w:tblStyle w:val="14"/>
        <w:tblpPr w:leftFromText="180" w:rightFromText="180" w:vertAnchor="text" w:horzAnchor="page" w:tblpX="1802" w:tblpY="38"/>
        <w:tblOverlap w:val="never"/>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66"/>
        <w:gridCol w:w="1117"/>
        <w:gridCol w:w="1133"/>
        <w:gridCol w:w="1735"/>
        <w:gridCol w:w="1097"/>
        <w:gridCol w:w="8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5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1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65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&lt;580</w:t>
            </w:r>
          </w:p>
        </w:tc>
        <w:tc>
          <w:tcPr>
            <w:tcW w:w="6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580-860</w:t>
            </w:r>
          </w:p>
        </w:tc>
        <w:tc>
          <w:tcPr>
            <w:tcW w:w="101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860-1140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1140-1420</w:t>
            </w:r>
          </w:p>
        </w:tc>
        <w:tc>
          <w:tcPr>
            <w:tcW w:w="4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&gt;1420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1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1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1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5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&lt;540</w:t>
            </w:r>
          </w:p>
        </w:tc>
        <w:tc>
          <w:tcPr>
            <w:tcW w:w="6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540-790</w:t>
            </w:r>
          </w:p>
        </w:tc>
        <w:tc>
          <w:tcPr>
            <w:tcW w:w="101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790-1040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1040-1290</w:t>
            </w:r>
          </w:p>
        </w:tc>
        <w:tc>
          <w:tcPr>
            <w:tcW w:w="4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&gt;1290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101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1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表2-24新华镇Ⅲ级商服用地基准地价修正系数表</w:t>
      </w:r>
    </w:p>
    <w:tbl>
      <w:tblPr>
        <w:tblStyle w:val="14"/>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1"/>
        <w:gridCol w:w="1216"/>
        <w:gridCol w:w="1217"/>
        <w:gridCol w:w="1217"/>
        <w:gridCol w:w="1217"/>
        <w:gridCol w:w="1217"/>
        <w:gridCol w:w="12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0.0423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-0.0423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0.0303</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0.0151</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-0.0151</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-0.0303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bl>
    <w:p>
      <w:pPr>
        <w:spacing w:line="324" w:lineRule="auto"/>
        <w:ind w:firstLine="446"/>
        <w:jc w:val="center"/>
        <w:rPr>
          <w:rFonts w:hint="eastAsia" w:ascii="仿宋_GB2312" w:hAnsi="仿宋_GB2312" w:eastAsia="仿宋_GB2312" w:cs="仿宋_GB2312"/>
          <w:b/>
          <w:sz w:val="21"/>
          <w:szCs w:val="21"/>
        </w:rPr>
      </w:pPr>
    </w:p>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表2-25新华镇Ⅰ级住宅用地区位因素修正系数指标说明表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429"/>
        <w:gridCol w:w="1044"/>
        <w:gridCol w:w="1097"/>
        <w:gridCol w:w="1888"/>
        <w:gridCol w:w="1155"/>
        <w:gridCol w:w="8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0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7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6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&lt;130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130-260</w:t>
            </w:r>
          </w:p>
        </w:tc>
        <w:tc>
          <w:tcPr>
            <w:tcW w:w="110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260-390</w:t>
            </w:r>
          </w:p>
        </w:tc>
        <w:tc>
          <w:tcPr>
            <w:tcW w:w="6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390-420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6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&lt;140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140-280</w:t>
            </w:r>
          </w:p>
        </w:tc>
        <w:tc>
          <w:tcPr>
            <w:tcW w:w="110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280-420</w:t>
            </w:r>
          </w:p>
        </w:tc>
        <w:tc>
          <w:tcPr>
            <w:tcW w:w="6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420-560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6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10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据文体场馆距离（米）</w:t>
            </w:r>
          </w:p>
        </w:tc>
        <w:tc>
          <w:tcPr>
            <w:tcW w:w="6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&lt;110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110-220</w:t>
            </w:r>
          </w:p>
        </w:tc>
        <w:tc>
          <w:tcPr>
            <w:tcW w:w="110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220-330</w:t>
            </w:r>
          </w:p>
        </w:tc>
        <w:tc>
          <w:tcPr>
            <w:tcW w:w="6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330-440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10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38"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12"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43"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1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77"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7"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8"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表2-26新华镇Ⅰ级住宅用地基准地价修正系数表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0.021</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0.0105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-0.0094</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0.0064</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-0.0031</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-0.0062</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-0.0049</w:t>
            </w:r>
          </w:p>
        </w:tc>
      </w:tr>
    </w:tbl>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表2-27新华镇Ⅱ级住宅用地区位因素修正系数指标说明表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461"/>
        <w:gridCol w:w="1103"/>
        <w:gridCol w:w="1073"/>
        <w:gridCol w:w="1853"/>
        <w:gridCol w:w="1123"/>
        <w:gridCol w:w="8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5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4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29"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8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5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64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2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0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5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4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8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4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8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4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8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64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&lt;320</w:t>
            </w:r>
          </w:p>
        </w:tc>
        <w:tc>
          <w:tcPr>
            <w:tcW w:w="62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320-500</w:t>
            </w:r>
          </w:p>
        </w:tc>
        <w:tc>
          <w:tcPr>
            <w:tcW w:w="10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500-680</w:t>
            </w:r>
          </w:p>
        </w:tc>
        <w:tc>
          <w:tcPr>
            <w:tcW w:w="65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680-860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64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2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0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5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据文体场馆距离（米）</w:t>
            </w:r>
          </w:p>
        </w:tc>
        <w:tc>
          <w:tcPr>
            <w:tcW w:w="64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&lt;390</w:t>
            </w:r>
          </w:p>
        </w:tc>
        <w:tc>
          <w:tcPr>
            <w:tcW w:w="62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390-550</w:t>
            </w:r>
          </w:p>
        </w:tc>
        <w:tc>
          <w:tcPr>
            <w:tcW w:w="10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550-710</w:t>
            </w:r>
          </w:p>
        </w:tc>
        <w:tc>
          <w:tcPr>
            <w:tcW w:w="65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710-870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&gt;870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4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&lt;290</w:t>
            </w:r>
          </w:p>
        </w:tc>
        <w:tc>
          <w:tcPr>
            <w:tcW w:w="62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290-460</w:t>
            </w:r>
          </w:p>
        </w:tc>
        <w:tc>
          <w:tcPr>
            <w:tcW w:w="10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460-630</w:t>
            </w:r>
          </w:p>
        </w:tc>
        <w:tc>
          <w:tcPr>
            <w:tcW w:w="65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630-800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57"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47"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29"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08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58"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7"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7"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4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8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表2-28新华镇Ⅱ级住宅用地基准地价修正系数表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0.0183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0.028</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0.014</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-0.0112</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-0.0224</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0.0537 </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0.0093</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0.0046</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-0.0037</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表2-29新华镇Ⅰ级工业用地区位因素修正系数指标说明表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3"/>
        <w:gridCol w:w="875"/>
        <w:gridCol w:w="1100"/>
        <w:gridCol w:w="1847"/>
        <w:gridCol w:w="1832"/>
        <w:gridCol w:w="1132"/>
        <w:gridCol w:w="95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45"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08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7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6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59"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0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表2-30新华镇Ⅰ级工业用地基准地价修正系数表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0.0058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-0.0179</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表2-31新华镇Ⅱ级工业用地区位因素修正系数指标说明表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75"/>
        <w:gridCol w:w="1102"/>
        <w:gridCol w:w="1846"/>
        <w:gridCol w:w="1863"/>
        <w:gridCol w:w="1162"/>
        <w:gridCol w:w="89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4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08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9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81"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2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09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9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9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09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09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09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8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表2-32新华镇Ⅱ级工业用地基准地价修正系数表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7"/>
        <w:gridCol w:w="1117"/>
        <w:gridCol w:w="1117"/>
        <w:gridCol w:w="1119"/>
        <w:gridCol w:w="1119"/>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0.0155</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0.0078</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-0.0233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0.0109</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-0.0075</w:t>
            </w:r>
          </w:p>
        </w:tc>
      </w:tr>
    </w:tbl>
    <w:p>
      <w:pPr>
        <w:pStyle w:val="17"/>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425" w:num="1"/>
          <w:docGrid w:type="lines" w:linePitch="312" w:charSpace="0"/>
        </w:sectPr>
      </w:pPr>
    </w:p>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表2-33新华镇Ⅰ级公共服务项目用地I区位因素修正系数指标说明表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75"/>
        <w:gridCol w:w="956"/>
        <w:gridCol w:w="1809"/>
        <w:gridCol w:w="1912"/>
        <w:gridCol w:w="1323"/>
        <w:gridCol w:w="86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60"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061"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21"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7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0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5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6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2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7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6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2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6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2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5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06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12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7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06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12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7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6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2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7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表2-34 新华镇Ⅰ级公共服务项目用地I基准地价修正系数表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0.0058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-0.0179</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0" w:firstLineChars="0"/>
        <w:jc w:val="center"/>
        <w:rPr>
          <w:rFonts w:hint="eastAsia" w:ascii="仿宋_GB2312" w:hAnsi="仿宋_GB2312" w:eastAsia="仿宋_GB2312" w:cs="仿宋_GB2312"/>
          <w:b/>
          <w:sz w:val="21"/>
          <w:szCs w:val="21"/>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表2-35新华镇Ⅱ级公共服务项目用地I区位因素修正系数指标说明表</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876"/>
        <w:gridCol w:w="784"/>
        <w:gridCol w:w="2163"/>
        <w:gridCol w:w="2163"/>
        <w:gridCol w:w="1060"/>
        <w:gridCol w:w="69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11"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84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5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80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2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8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8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7"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8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8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7"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8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8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8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8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7"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8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8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7"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8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8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表2-36 新华镇Ⅱ级公共服务项目用地I基准地价修正系数表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-0.0233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-0.0075</w:t>
            </w:r>
          </w:p>
        </w:tc>
      </w:tr>
    </w:tbl>
    <w:p>
      <w:pPr>
        <w:pStyle w:val="17"/>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425" w:num="1"/>
          <w:docGrid w:type="lines" w:linePitch="312" w:charSpace="0"/>
        </w:sectPr>
      </w:pPr>
    </w:p>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表2-37新华镇Ⅰ级公共服务项目用地II区位因素修正系数指标说明表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414"/>
        <w:gridCol w:w="1015"/>
        <w:gridCol w:w="1176"/>
        <w:gridCol w:w="1942"/>
        <w:gridCol w:w="1066"/>
        <w:gridCol w:w="8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9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8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2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59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&lt;130</w:t>
            </w:r>
          </w:p>
        </w:tc>
        <w:tc>
          <w:tcPr>
            <w:tcW w:w="68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130-260</w:t>
            </w:r>
          </w:p>
        </w:tc>
        <w:tc>
          <w:tcPr>
            <w:tcW w:w="113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260-390</w:t>
            </w:r>
          </w:p>
        </w:tc>
        <w:tc>
          <w:tcPr>
            <w:tcW w:w="6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390-420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8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8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8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59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&lt;140</w:t>
            </w:r>
          </w:p>
        </w:tc>
        <w:tc>
          <w:tcPr>
            <w:tcW w:w="68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140-280</w:t>
            </w:r>
          </w:p>
        </w:tc>
        <w:tc>
          <w:tcPr>
            <w:tcW w:w="113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280-420</w:t>
            </w:r>
          </w:p>
        </w:tc>
        <w:tc>
          <w:tcPr>
            <w:tcW w:w="6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420-560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59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8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13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2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9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8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13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29"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95"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89"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25"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7"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29"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8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表2-38 新华镇Ⅰ级公共服务项目用地II基准地价修正系数表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0.021</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0.0105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-0.0094</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0.0064</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-0.0031</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-0.0062</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0.0845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0.0880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-0.0049</w:t>
            </w:r>
          </w:p>
        </w:tc>
      </w:tr>
    </w:tbl>
    <w:p>
      <w:pPr>
        <w:ind w:firstLine="0" w:firstLineChars="0"/>
        <w:jc w:val="center"/>
        <w:rPr>
          <w:rFonts w:hint="eastAsia" w:ascii="仿宋_GB2312" w:hAnsi="仿宋_GB2312" w:eastAsia="仿宋_GB2312" w:cs="仿宋_GB2312"/>
          <w:b/>
          <w:sz w:val="21"/>
          <w:szCs w:val="21"/>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表2-39 新华镇Ⅱ级公共服务项目用地II区位因素修正系数指标说明表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1430"/>
        <w:gridCol w:w="1044"/>
        <w:gridCol w:w="1095"/>
        <w:gridCol w:w="1920"/>
        <w:gridCol w:w="1124"/>
        <w:gridCol w:w="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1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2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59"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6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4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1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6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&lt;320</w:t>
            </w:r>
          </w:p>
        </w:tc>
        <w:tc>
          <w:tcPr>
            <w:tcW w:w="64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320-500</w:t>
            </w:r>
          </w:p>
        </w:tc>
        <w:tc>
          <w:tcPr>
            <w:tcW w:w="11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500-680</w:t>
            </w:r>
          </w:p>
        </w:tc>
        <w:tc>
          <w:tcPr>
            <w:tcW w:w="6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680-860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6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4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1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&lt;290</w:t>
            </w:r>
          </w:p>
        </w:tc>
        <w:tc>
          <w:tcPr>
            <w:tcW w:w="64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290-460</w:t>
            </w:r>
          </w:p>
        </w:tc>
        <w:tc>
          <w:tcPr>
            <w:tcW w:w="11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460-630</w:t>
            </w:r>
          </w:p>
        </w:tc>
        <w:tc>
          <w:tcPr>
            <w:tcW w:w="6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630-800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39"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12"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42"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1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59"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6"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9"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表2-40 新华镇Ⅱ级公共服务项目用地II基准地价修正系数表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0.0183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0.028</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0.014</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-0.0112</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-0.0224</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0.0537 </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0.0093</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0.0046</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-0.0037</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0.0845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0.0880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586"/>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pStyle w:val="3"/>
        <w:bidi w:val="0"/>
        <w:rPr>
          <w:rFonts w:hint="eastAsia" w:ascii="仿宋_GB2312" w:hAnsi="仿宋_GB2312" w:eastAsia="仿宋_GB2312" w:cs="仿宋_GB2312"/>
        </w:rPr>
      </w:pPr>
      <w:bookmarkStart w:id="31" w:name="_Toc7043"/>
      <w:bookmarkStart w:id="32" w:name="_Toc11618"/>
      <w:bookmarkStart w:id="33" w:name="_Toc13377"/>
      <w:bookmarkStart w:id="34" w:name="_Toc445367184"/>
      <w:bookmarkStart w:id="35" w:name="_Toc23737"/>
      <w:r>
        <w:rPr>
          <w:rFonts w:hint="eastAsia" w:ascii="仿宋_GB2312" w:hAnsi="仿宋_GB2312" w:eastAsia="仿宋_GB2312" w:cs="仿宋_GB2312"/>
        </w:rPr>
        <w:t>第三章</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成果对比分析</w:t>
      </w:r>
      <w:bookmarkEnd w:id="31"/>
      <w:bookmarkEnd w:id="32"/>
      <w:bookmarkEnd w:id="33"/>
      <w:bookmarkEnd w:id="34"/>
      <w:bookmarkEnd w:id="35"/>
    </w:p>
    <w:p>
      <w:pPr>
        <w:bidi w:val="0"/>
        <w:rPr>
          <w:rFonts w:hint="eastAsia" w:ascii="仿宋_GB2312" w:hAnsi="仿宋_GB2312" w:eastAsia="仿宋_GB2312" w:cs="仿宋_GB2312"/>
        </w:rPr>
      </w:pPr>
      <w:r>
        <w:rPr>
          <w:rFonts w:hint="eastAsia" w:ascii="仿宋_GB2312" w:hAnsi="仿宋_GB2312" w:eastAsia="仿宋_GB2312" w:cs="仿宋_GB2312"/>
        </w:rPr>
        <w:t>临河区新华镇2021年与2016年基准地价对比成果见表3-1。</w:t>
      </w:r>
    </w:p>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表3-1临河区新华镇两次基准地价成果对比表</w:t>
      </w:r>
    </w:p>
    <w:p>
      <w:pPr>
        <w:tabs>
          <w:tab w:val="left" w:pos="705"/>
        </w:tabs>
        <w:spacing w:line="240" w:lineRule="auto"/>
        <w:ind w:firstLine="0" w:firstLineChars="0"/>
        <w:jc w:val="right"/>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单位：元/m</w:t>
      </w:r>
      <w:r>
        <w:rPr>
          <w:rFonts w:hint="eastAsia" w:ascii="仿宋_GB2312" w:hAnsi="仿宋_GB2312" w:eastAsia="仿宋_GB2312" w:cs="仿宋_GB2312"/>
          <w:sz w:val="21"/>
          <w:szCs w:val="21"/>
          <w:vertAlign w:val="superscript"/>
        </w:rPr>
        <w:t>2</w:t>
      </w:r>
    </w:p>
    <w:tbl>
      <w:tblPr>
        <w:tblStyle w:val="15"/>
        <w:tblpPr w:leftFromText="180" w:rightFromText="180" w:vertAnchor="text" w:horzAnchor="page" w:tblpXSpec="center" w:tblpY="217"/>
        <w:tblOverlap w:val="never"/>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058"/>
        <w:gridCol w:w="1058"/>
        <w:gridCol w:w="1079"/>
        <w:gridCol w:w="1054"/>
        <w:gridCol w:w="1076"/>
        <w:gridCol w:w="105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restart"/>
            <w:tcBorders>
              <w:top w:val="double" w:color="auto" w:sz="4" w:space="0"/>
              <w:left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土地级别年份</w:t>
            </w:r>
          </w:p>
        </w:tc>
        <w:tc>
          <w:tcPr>
            <w:tcW w:w="3195" w:type="dxa"/>
            <w:gridSpan w:val="3"/>
            <w:tcBorders>
              <w:top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商服用地</w:t>
            </w:r>
          </w:p>
        </w:tc>
        <w:tc>
          <w:tcPr>
            <w:tcW w:w="2130" w:type="dxa"/>
            <w:gridSpan w:val="2"/>
            <w:tcBorders>
              <w:top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住宅用地</w:t>
            </w:r>
          </w:p>
        </w:tc>
        <w:tc>
          <w:tcPr>
            <w:tcW w:w="2132" w:type="dxa"/>
            <w:gridSpan w:val="2"/>
            <w:tcBorders>
              <w:top w:val="double" w:color="auto" w:sz="4" w:space="0"/>
              <w:right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tcBorders>
              <w:left w:val="double" w:color="auto" w:sz="4" w:space="0"/>
            </w:tcBorders>
            <w:vAlign w:val="center"/>
          </w:tcPr>
          <w:p>
            <w:pPr>
              <w:pStyle w:val="22"/>
              <w:rPr>
                <w:rFonts w:hint="eastAsia" w:ascii="仿宋_GB2312" w:hAnsi="仿宋_GB2312" w:eastAsia="仿宋_GB2312" w:cs="仿宋_GB2312"/>
                <w:b/>
                <w:bCs/>
                <w:sz w:val="21"/>
                <w:szCs w:val="21"/>
              </w:rPr>
            </w:pPr>
          </w:p>
        </w:tc>
        <w:tc>
          <w:tcPr>
            <w:tcW w:w="1058"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1058"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1079"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Ⅲ</w:t>
            </w:r>
          </w:p>
        </w:tc>
        <w:tc>
          <w:tcPr>
            <w:tcW w:w="1054"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1076"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1055"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1077" w:type="dxa"/>
            <w:tcBorders>
              <w:right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tcBorders>
              <w:left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2016年</w:t>
            </w:r>
          </w:p>
        </w:tc>
        <w:tc>
          <w:tcPr>
            <w:tcW w:w="1058"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w:t>
            </w:r>
          </w:p>
        </w:tc>
        <w:tc>
          <w:tcPr>
            <w:tcW w:w="1058"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1079"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c>
          <w:tcPr>
            <w:tcW w:w="1054"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c>
          <w:tcPr>
            <w:tcW w:w="1076"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055"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55</w:t>
            </w:r>
          </w:p>
        </w:tc>
        <w:tc>
          <w:tcPr>
            <w:tcW w:w="1077" w:type="dxa"/>
            <w:tcBorders>
              <w:right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tcBorders>
              <w:left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2021年</w:t>
            </w:r>
          </w:p>
        </w:tc>
        <w:tc>
          <w:tcPr>
            <w:tcW w:w="1058"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171</w:t>
            </w:r>
          </w:p>
        </w:tc>
        <w:tc>
          <w:tcPr>
            <w:tcW w:w="1058"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w:t>
            </w:r>
          </w:p>
        </w:tc>
        <w:tc>
          <w:tcPr>
            <w:tcW w:w="1079"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108</w:t>
            </w:r>
          </w:p>
        </w:tc>
        <w:tc>
          <w:tcPr>
            <w:tcW w:w="1054"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w:t>
            </w:r>
          </w:p>
        </w:tc>
        <w:tc>
          <w:tcPr>
            <w:tcW w:w="1076"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w:t>
            </w:r>
          </w:p>
        </w:tc>
        <w:tc>
          <w:tcPr>
            <w:tcW w:w="1055"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85</w:t>
            </w:r>
          </w:p>
        </w:tc>
        <w:tc>
          <w:tcPr>
            <w:tcW w:w="1077" w:type="dxa"/>
            <w:tcBorders>
              <w:right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tcBorders>
              <w:left w:val="double" w:color="auto" w:sz="4" w:space="0"/>
              <w:bottom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增长率（%）</w:t>
            </w:r>
          </w:p>
        </w:tc>
        <w:tc>
          <w:tcPr>
            <w:tcW w:w="1058"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90.00%</w:t>
            </w:r>
          </w:p>
        </w:tc>
        <w:tc>
          <w:tcPr>
            <w:tcW w:w="1058"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68.75%</w:t>
            </w:r>
          </w:p>
        </w:tc>
        <w:tc>
          <w:tcPr>
            <w:tcW w:w="1079"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66.15%</w:t>
            </w:r>
          </w:p>
        </w:tc>
        <w:tc>
          <w:tcPr>
            <w:tcW w:w="1054"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125.00%</w:t>
            </w:r>
          </w:p>
        </w:tc>
        <w:tc>
          <w:tcPr>
            <w:tcW w:w="1076"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108.00%</w:t>
            </w:r>
          </w:p>
        </w:tc>
        <w:tc>
          <w:tcPr>
            <w:tcW w:w="1055"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54.55%</w:t>
            </w:r>
          </w:p>
        </w:tc>
        <w:tc>
          <w:tcPr>
            <w:tcW w:w="1077" w:type="dxa"/>
            <w:tcBorders>
              <w:bottom w:val="double" w:color="auto" w:sz="4" w:space="0"/>
              <w:right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51.11%</w:t>
            </w:r>
          </w:p>
        </w:tc>
      </w:tr>
    </w:tbl>
    <w:p>
      <w:pPr>
        <w:bidi w:val="0"/>
        <w:rPr>
          <w:rFonts w:hint="eastAsia" w:ascii="仿宋_GB2312" w:hAnsi="仿宋_GB2312" w:eastAsia="仿宋_GB2312" w:cs="仿宋_GB2312"/>
        </w:rPr>
      </w:pPr>
      <w:r>
        <w:rPr>
          <w:rFonts w:hint="eastAsia" w:ascii="仿宋_GB2312" w:hAnsi="仿宋_GB2312" w:eastAsia="仿宋_GB2312" w:cs="仿宋_GB2312"/>
        </w:rPr>
        <w:t>分析对比新华镇2016年、2021年的基准地价成果，可以看出，从2016年—2021年，商服、住宅、工业用地的地价总体呈上升趋势，其中住宅Ⅰ级和Ⅱ级用地地价增长最快。这主要由于近年来临河区新华镇经济快速发展，城区改造力度的加大促使土地市场不断发展，土地需求上升，从而促使地价上涨；同时基础设施条件的进一步完善，使得土地的取得和开发成本也有所上升，也导致土地价格的上涨。</w:t>
      </w:r>
    </w:p>
    <w:p>
      <w:pPr>
        <w:bidi w:val="0"/>
        <w:rPr>
          <w:rFonts w:hint="eastAsia" w:ascii="仿宋_GB2312" w:hAnsi="仿宋_GB2312" w:eastAsia="仿宋_GB2312" w:cs="仿宋_GB2312"/>
        </w:rPr>
      </w:pPr>
      <w:r>
        <w:rPr>
          <w:rFonts w:hint="eastAsia" w:ascii="仿宋_GB2312" w:hAnsi="仿宋_GB2312" w:eastAsia="仿宋_GB2312" w:cs="仿宋_GB2312"/>
        </w:rPr>
        <w:t>工业用地地价涨幅较小，主要是由于工业用地一般是通过征地、协议出让的方式获得土地的使用权，土地取得费较低，而且一般都分布在城区的边缘地带，土地的利用程度相对比较低的缘故。</w:t>
      </w:r>
      <w:bookmarkStart w:id="60" w:name="_GoBack"/>
      <w:bookmarkEnd w:id="60"/>
    </w:p>
    <w:p>
      <w:pPr>
        <w:pStyle w:val="4"/>
        <w:bidi w:val="0"/>
        <w:rPr>
          <w:rFonts w:hint="eastAsia" w:ascii="仿宋_GB2312" w:hAnsi="仿宋_GB2312" w:eastAsia="仿宋_GB2312" w:cs="仿宋_GB2312"/>
        </w:rPr>
      </w:pPr>
      <w:bookmarkStart w:id="36" w:name="_Toc19434"/>
      <w:bookmarkStart w:id="37" w:name="_Toc17997"/>
      <w:bookmarkStart w:id="38" w:name="_Toc1572"/>
      <w:bookmarkStart w:id="39" w:name="_Toc7471"/>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成果意义</w:t>
      </w:r>
      <w:bookmarkEnd w:id="36"/>
      <w:bookmarkEnd w:id="37"/>
      <w:bookmarkEnd w:id="38"/>
      <w:bookmarkEnd w:id="39"/>
    </w:p>
    <w:p>
      <w:pPr>
        <w:bidi w:val="0"/>
        <w:rPr>
          <w:rFonts w:hint="eastAsia" w:ascii="仿宋_GB2312" w:hAnsi="仿宋_GB2312" w:eastAsia="仿宋_GB2312" w:cs="仿宋_GB2312"/>
        </w:rPr>
      </w:pPr>
      <w:r>
        <w:rPr>
          <w:rFonts w:hint="eastAsia" w:ascii="仿宋_GB2312" w:hAnsi="仿宋_GB2312" w:eastAsia="仿宋_GB2312" w:cs="仿宋_GB2312"/>
        </w:rPr>
        <w:t>临河区新华镇土地定级估价工作在土地管理历史上具有深远的影响，它不仅是一项重要的基础工作，而且具有广泛的现实意义。</w:t>
      </w:r>
    </w:p>
    <w:p>
      <w:pPr>
        <w:pStyle w:val="5"/>
        <w:bidi w:val="0"/>
        <w:rPr>
          <w:rFonts w:hint="eastAsia" w:ascii="仿宋_GB2312" w:hAnsi="仿宋_GB2312" w:eastAsia="仿宋_GB2312" w:cs="仿宋_GB2312"/>
        </w:rPr>
      </w:pPr>
      <w:bookmarkStart w:id="40" w:name="_Toc13280"/>
      <w:bookmarkStart w:id="41" w:name="_Toc18119"/>
      <w:r>
        <w:rPr>
          <w:rFonts w:hint="eastAsia" w:ascii="仿宋_GB2312" w:hAnsi="仿宋_GB2312" w:eastAsia="仿宋_GB2312" w:cs="仿宋_GB2312"/>
        </w:rPr>
        <w:t>一、是一项重要的基础工作</w:t>
      </w:r>
      <w:bookmarkEnd w:id="40"/>
      <w:bookmarkEnd w:id="41"/>
    </w:p>
    <w:p>
      <w:pPr>
        <w:bidi w:val="0"/>
        <w:rPr>
          <w:rFonts w:hint="eastAsia" w:ascii="仿宋_GB2312" w:hAnsi="仿宋_GB2312" w:eastAsia="仿宋_GB2312" w:cs="仿宋_GB2312"/>
        </w:rPr>
      </w:pPr>
      <w:r>
        <w:rPr>
          <w:rFonts w:hint="eastAsia" w:ascii="仿宋_GB2312" w:hAnsi="仿宋_GB2312" w:eastAsia="仿宋_GB2312" w:cs="仿宋_GB2312"/>
        </w:rPr>
        <w:t>地价管理是自然资源管理的重要组成部分，是土地市场的核心，全面、系统、准确地掌握土地价格的变化情况，分析发展趋势，不仅是国家制定土地政策、深化土地使用制度改革的需要，同时也能引导产业的健康发展，是国内外投资者实现合理回报的前提和决策依据。因此，科学合理制订地价体系，实施土地定级与基准地价评估是国土资源管理部门的一项重要的基础工作。</w:t>
      </w:r>
    </w:p>
    <w:p>
      <w:pPr>
        <w:pStyle w:val="5"/>
        <w:bidi w:val="0"/>
        <w:rPr>
          <w:rFonts w:hint="eastAsia" w:ascii="仿宋_GB2312" w:hAnsi="仿宋_GB2312" w:eastAsia="仿宋_GB2312" w:cs="仿宋_GB2312"/>
        </w:rPr>
      </w:pPr>
      <w:bookmarkStart w:id="42" w:name="_Toc27311"/>
      <w:bookmarkStart w:id="43" w:name="_Toc3522"/>
      <w:r>
        <w:rPr>
          <w:rFonts w:hint="eastAsia" w:ascii="仿宋_GB2312" w:hAnsi="仿宋_GB2312" w:eastAsia="仿宋_GB2312" w:cs="仿宋_GB2312"/>
        </w:rPr>
        <w:t>二、有利于宏观调控土地市场，指导地产交易</w:t>
      </w:r>
      <w:bookmarkEnd w:id="42"/>
      <w:bookmarkEnd w:id="43"/>
    </w:p>
    <w:p>
      <w:pPr>
        <w:bidi w:val="0"/>
        <w:rPr>
          <w:rFonts w:hint="eastAsia" w:ascii="仿宋_GB2312" w:hAnsi="仿宋_GB2312" w:eastAsia="仿宋_GB2312" w:cs="仿宋_GB2312"/>
        </w:rPr>
      </w:pPr>
      <w:r>
        <w:rPr>
          <w:rFonts w:hint="eastAsia" w:ascii="仿宋_GB2312" w:hAnsi="仿宋_GB2312" w:eastAsia="仿宋_GB2312" w:cs="仿宋_GB2312"/>
        </w:rPr>
        <w:t>临河区新华镇土地招、拍、挂已有一定发展，这是地产公开、公正、公平交易的象征。一级土地市场的垄断，二级土地市场的流转，核心问题是地价。本次工作无疑对土地市场的发育完善具有深远的积极影响。</w:t>
      </w:r>
    </w:p>
    <w:p>
      <w:pPr>
        <w:pStyle w:val="5"/>
        <w:bidi w:val="0"/>
        <w:rPr>
          <w:rFonts w:hint="eastAsia" w:ascii="仿宋_GB2312" w:hAnsi="仿宋_GB2312" w:eastAsia="仿宋_GB2312" w:cs="仿宋_GB2312"/>
        </w:rPr>
      </w:pPr>
      <w:bookmarkStart w:id="44" w:name="_Toc18349"/>
      <w:bookmarkStart w:id="45" w:name="_Toc8054"/>
      <w:r>
        <w:rPr>
          <w:rFonts w:hint="eastAsia" w:ascii="仿宋_GB2312" w:hAnsi="仿宋_GB2312" w:eastAsia="仿宋_GB2312" w:cs="仿宋_GB2312"/>
        </w:rPr>
        <w:t>三、为公平合理地收取土地税费提供依据</w:t>
      </w:r>
      <w:bookmarkEnd w:id="44"/>
      <w:bookmarkEnd w:id="45"/>
    </w:p>
    <w:p>
      <w:pPr>
        <w:bidi w:val="0"/>
        <w:rPr>
          <w:rFonts w:hint="eastAsia" w:ascii="仿宋_GB2312" w:hAnsi="仿宋_GB2312" w:eastAsia="仿宋_GB2312" w:cs="仿宋_GB2312"/>
          <w:lang w:eastAsia="zh-CN"/>
        </w:rPr>
      </w:pPr>
      <w:r>
        <w:rPr>
          <w:rFonts w:hint="eastAsia" w:ascii="仿宋_GB2312" w:hAnsi="仿宋_GB2312" w:eastAsia="仿宋_GB2312" w:cs="仿宋_GB2312"/>
        </w:rPr>
        <w:t>《中华人民共和国城镇房地产管理法》、《土地使用税暂行条例》、《增值税条例》、《土地出让转让暂行条例》、《契税暂行条例》、《耕地占用税实施办法》等法律、法规、规章对征收土地税费均有明确规定。其中有些是依据土地等级征收，有的是依据地价征收。因此，现行的土地使用税费标准可依据土地定级估价成果进行，从而确保征收税费的公平性</w:t>
      </w:r>
      <w:r>
        <w:rPr>
          <w:rFonts w:hint="eastAsia" w:ascii="仿宋_GB2312" w:hAnsi="仿宋_GB2312" w:eastAsia="仿宋_GB2312" w:cs="仿宋_GB2312"/>
          <w:lang w:eastAsia="zh-CN"/>
        </w:rPr>
        <w:t>。</w:t>
      </w:r>
    </w:p>
    <w:p>
      <w:pPr>
        <w:pStyle w:val="5"/>
        <w:bidi w:val="0"/>
        <w:rPr>
          <w:rFonts w:hint="eastAsia" w:ascii="仿宋_GB2312" w:hAnsi="仿宋_GB2312" w:eastAsia="仿宋_GB2312" w:cs="仿宋_GB2312"/>
        </w:rPr>
      </w:pPr>
      <w:bookmarkStart w:id="46" w:name="_Toc10274"/>
      <w:bookmarkStart w:id="47" w:name="_Toc24732"/>
      <w:r>
        <w:rPr>
          <w:rFonts w:hint="eastAsia" w:ascii="仿宋_GB2312" w:hAnsi="仿宋_GB2312" w:eastAsia="仿宋_GB2312" w:cs="仿宋_GB2312"/>
        </w:rPr>
        <w:t>四、更好地促进土地管理工作的开展</w:t>
      </w:r>
      <w:bookmarkEnd w:id="46"/>
      <w:bookmarkEnd w:id="47"/>
    </w:p>
    <w:p>
      <w:pPr>
        <w:bidi w:val="0"/>
        <w:rPr>
          <w:rFonts w:hint="eastAsia" w:ascii="仿宋_GB2312" w:hAnsi="仿宋_GB2312" w:eastAsia="仿宋_GB2312" w:cs="仿宋_GB2312"/>
        </w:rPr>
      </w:pPr>
      <w:r>
        <w:rPr>
          <w:rFonts w:hint="eastAsia" w:ascii="仿宋_GB2312" w:hAnsi="仿宋_GB2312" w:eastAsia="仿宋_GB2312" w:cs="仿宋_GB2312"/>
        </w:rPr>
        <w:t>地籍管理是土地管理的核心，而地籍调查是地籍管理的基础工作之一。通过对全镇各部门有关资料、图件的调查，以及各种数据的录入、处理，已形成一些有用的宗地数据和图件，应用于地籍调查和变更调查工作中，无疑可以促进这方面的业务的开展。</w:t>
      </w:r>
    </w:p>
    <w:p>
      <w:pPr>
        <w:bidi w:val="0"/>
        <w:rPr>
          <w:rFonts w:hint="eastAsia" w:ascii="仿宋_GB2312" w:hAnsi="仿宋_GB2312" w:eastAsia="仿宋_GB2312" w:cs="仿宋_GB2312"/>
        </w:rPr>
      </w:pPr>
      <w:r>
        <w:rPr>
          <w:rFonts w:hint="eastAsia" w:ascii="仿宋_GB2312" w:hAnsi="仿宋_GB2312" w:eastAsia="仿宋_GB2312" w:cs="仿宋_GB2312"/>
        </w:rPr>
        <w:t>此外，对土地管理信息化建设也具有参考价值。</w:t>
      </w:r>
    </w:p>
    <w:p>
      <w:pPr>
        <w:pStyle w:val="5"/>
        <w:bidi w:val="0"/>
        <w:rPr>
          <w:rFonts w:hint="eastAsia" w:ascii="仿宋_GB2312" w:hAnsi="仿宋_GB2312" w:eastAsia="仿宋_GB2312" w:cs="仿宋_GB2312"/>
        </w:rPr>
      </w:pPr>
      <w:bookmarkStart w:id="48" w:name="_Toc28007"/>
      <w:bookmarkStart w:id="49" w:name="_Toc31703"/>
      <w:r>
        <w:rPr>
          <w:rFonts w:hint="eastAsia" w:ascii="仿宋_GB2312" w:hAnsi="仿宋_GB2312" w:eastAsia="仿宋_GB2312" w:cs="仿宋_GB2312"/>
        </w:rPr>
        <w:t>五、为建立土地资产台账提供基础</w:t>
      </w:r>
      <w:bookmarkEnd w:id="48"/>
      <w:bookmarkEnd w:id="49"/>
    </w:p>
    <w:p>
      <w:pPr>
        <w:bidi w:val="0"/>
        <w:rPr>
          <w:rFonts w:hint="eastAsia" w:ascii="仿宋_GB2312" w:hAnsi="仿宋_GB2312" w:eastAsia="仿宋_GB2312" w:cs="仿宋_GB2312"/>
        </w:rPr>
      </w:pPr>
      <w:r>
        <w:rPr>
          <w:rFonts w:hint="eastAsia" w:ascii="仿宋_GB2312" w:hAnsi="仿宋_GB2312" w:eastAsia="仿宋_GB2312" w:cs="仿宋_GB2312"/>
        </w:rPr>
        <w:t>城镇地籍调查工作，除了查清土地权属状况和用地面积外，还应查清土地的级别、地价，上述要素均应在地籍档案中登记载明。利用土地定级估价成果，通过宗地评估工作，可以评估出宗地地价和土地资产量，建立宗地的土地资产台账，从而使宗地的资产量显化，进而促进土地登记工作质量的提高。</w:t>
      </w:r>
    </w:p>
    <w:p>
      <w:pPr>
        <w:pStyle w:val="4"/>
        <w:bidi w:val="0"/>
        <w:rPr>
          <w:rFonts w:hint="eastAsia" w:ascii="仿宋_GB2312" w:hAnsi="仿宋_GB2312" w:eastAsia="仿宋_GB2312" w:cs="仿宋_GB2312"/>
        </w:rPr>
      </w:pPr>
      <w:bookmarkStart w:id="50" w:name="_Toc6814"/>
      <w:bookmarkStart w:id="51" w:name="_Toc24381"/>
      <w:bookmarkStart w:id="52" w:name="_Toc17116"/>
      <w:bookmarkStart w:id="53" w:name="_Toc2517"/>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成果的应用说明</w:t>
      </w:r>
      <w:bookmarkEnd w:id="50"/>
      <w:bookmarkEnd w:id="51"/>
      <w:bookmarkEnd w:id="52"/>
      <w:bookmarkEnd w:id="53"/>
    </w:p>
    <w:p>
      <w:pPr>
        <w:bidi w:val="0"/>
        <w:rPr>
          <w:rFonts w:hint="eastAsia" w:ascii="仿宋_GB2312" w:hAnsi="仿宋_GB2312" w:eastAsia="仿宋_GB2312" w:cs="仿宋_GB2312"/>
        </w:rPr>
      </w:pPr>
      <w:r>
        <w:rPr>
          <w:rFonts w:hint="eastAsia" w:ascii="仿宋_GB2312" w:hAnsi="仿宋_GB2312" w:eastAsia="仿宋_GB2312" w:cs="仿宋_GB2312"/>
        </w:rPr>
        <w:t>任何成果最终目的在于应用，土地定级估价成果也不例外。自然资源局十分重视基准地价成果的应用，已经把它纳入地价管理重要工作内容之一。临河区新华镇土地定级估价工作自始至终注重它的应用，它不仅应在指导和规范土地市场方面发挥作用，而且应在城市建设、城市功能的提升、城市经济的发展等方面发挥其优势。</w:t>
      </w:r>
    </w:p>
    <w:p>
      <w:pPr>
        <w:pStyle w:val="5"/>
        <w:bidi w:val="0"/>
        <w:rPr>
          <w:rFonts w:hint="eastAsia" w:ascii="仿宋_GB2312" w:hAnsi="仿宋_GB2312" w:eastAsia="仿宋_GB2312" w:cs="仿宋_GB2312"/>
        </w:rPr>
      </w:pPr>
      <w:bookmarkStart w:id="54" w:name="_Toc1829"/>
      <w:bookmarkStart w:id="55" w:name="_Toc3519"/>
      <w:r>
        <w:rPr>
          <w:rFonts w:hint="eastAsia" w:ascii="仿宋_GB2312" w:hAnsi="仿宋_GB2312" w:eastAsia="仿宋_GB2312" w:cs="仿宋_GB2312"/>
        </w:rPr>
        <w:t>一、土地定级成果的应用</w:t>
      </w:r>
      <w:bookmarkEnd w:id="54"/>
      <w:bookmarkEnd w:id="55"/>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土地级别</w:t>
      </w:r>
    </w:p>
    <w:p>
      <w:pPr>
        <w:bidi w:val="0"/>
        <w:rPr>
          <w:rFonts w:hint="eastAsia" w:ascii="仿宋_GB2312" w:hAnsi="仿宋_GB2312" w:eastAsia="仿宋_GB2312" w:cs="仿宋_GB2312"/>
        </w:rPr>
      </w:pPr>
      <w:r>
        <w:rPr>
          <w:rFonts w:hint="eastAsia" w:ascii="仿宋_GB2312" w:hAnsi="仿宋_GB2312" w:eastAsia="仿宋_GB2312" w:cs="仿宋_GB2312"/>
        </w:rPr>
        <w:t>土地级别主要反映城市内部土地的质量和利用效益的差异，可为城市规划、土地利用总体规划、土地计划等的制定提供依据，进而达到合理配置城市土地，最大限度地发挥土地的经济、社会、环境的综合效益。</w:t>
      </w:r>
    </w:p>
    <w:p>
      <w:pPr>
        <w:bidi w:val="0"/>
        <w:rPr>
          <w:rFonts w:hint="eastAsia" w:ascii="仿宋_GB2312" w:hAnsi="仿宋_GB2312" w:eastAsia="仿宋_GB2312" w:cs="仿宋_GB2312"/>
        </w:rPr>
      </w:pPr>
      <w:r>
        <w:rPr>
          <w:rFonts w:hint="eastAsia" w:ascii="仿宋_GB2312" w:hAnsi="仿宋_GB2312" w:eastAsia="仿宋_GB2312" w:cs="仿宋_GB2312"/>
        </w:rPr>
        <w:t>在具体应用该项成果时，应根据土地级别，将经济效益好的企业单位安排到一级土地上， 并尽可能提高优等土地的利用效率。城市规划部门同样应遵循最佳利用原则，合理安排城市内各功能用地结构，减少不合理的用地现象。</w:t>
      </w:r>
    </w:p>
    <w:p>
      <w:pPr>
        <w:bidi w:val="0"/>
        <w:rPr>
          <w:rFonts w:hint="eastAsia" w:ascii="仿宋_GB2312" w:hAnsi="仿宋_GB2312" w:eastAsia="仿宋_GB2312" w:cs="仿宋_GB2312"/>
        </w:rPr>
      </w:pPr>
      <w:r>
        <w:rPr>
          <w:rFonts w:hint="eastAsia" w:ascii="仿宋_GB2312" w:hAnsi="仿宋_GB2312" w:eastAsia="仿宋_GB2312" w:cs="仿宋_GB2312"/>
        </w:rPr>
        <w:t>此外，土地级别成果可为新增建设用地土地有偿使用费的征收，确定土地使用税的标准等方面提供重要依据。</w:t>
      </w:r>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因素作用分值图</w:t>
      </w:r>
    </w:p>
    <w:p>
      <w:pPr>
        <w:bidi w:val="0"/>
        <w:rPr>
          <w:rFonts w:hint="eastAsia" w:ascii="仿宋_GB2312" w:hAnsi="仿宋_GB2312" w:eastAsia="仿宋_GB2312" w:cs="仿宋_GB2312"/>
        </w:rPr>
      </w:pPr>
      <w:r>
        <w:rPr>
          <w:rFonts w:hint="eastAsia" w:ascii="仿宋_GB2312" w:hAnsi="仿宋_GB2312" w:eastAsia="仿宋_GB2312" w:cs="仿宋_GB2312"/>
        </w:rPr>
        <w:t>应用地理信息系统软件完成的土地定级作用分值图，可直接读取某一宗地的作用分值。如采用比较法或利用基准地价修正系数法进行宗地估价时，利用土地定级作用分值图可计算待估宗地与参照宗地比例系数，从而求得待估宗地地价。</w:t>
      </w:r>
    </w:p>
    <w:p>
      <w:pPr>
        <w:pStyle w:val="5"/>
        <w:bidi w:val="0"/>
        <w:rPr>
          <w:rFonts w:hint="eastAsia" w:ascii="仿宋_GB2312" w:hAnsi="仿宋_GB2312" w:eastAsia="仿宋_GB2312" w:cs="仿宋_GB2312"/>
        </w:rPr>
      </w:pPr>
      <w:bookmarkStart w:id="56" w:name="_Toc3839"/>
      <w:bookmarkStart w:id="57" w:name="_Toc20867"/>
      <w:r>
        <w:rPr>
          <w:rFonts w:hint="eastAsia" w:ascii="仿宋_GB2312" w:hAnsi="仿宋_GB2312" w:eastAsia="仿宋_GB2312" w:cs="仿宋_GB2312"/>
        </w:rPr>
        <w:t>二、基准地价成果的应用</w:t>
      </w:r>
      <w:bookmarkEnd w:id="56"/>
      <w:bookmarkEnd w:id="57"/>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基准地价</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宏观控制地价。洞察土地市场中地价变化趋势，为投资决策提供依据；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征收土地使用税费的依据。按照国际惯例，土地税一般是从价征税，而我国目前很难做到，征收的税额也偏低，达不到利用土地税收经济杠杆调节土地利用和土地级差收益的目的。因此，科学、合理、公开的基准地价能为科学地征收土地税费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确定中央与地方土地有偿使用收益分配的依据；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为地价评估工作提供依据；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为推行土地招标、拍卖、收购储备制度提供地价依据；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为实行基准地价评估和宗地地价公示制度奠定基础；</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对土地利用、流转合理引导；</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为国家进行地价动态监测，编制全国地价指数和临河区新华镇地价指数提供了依据。</w:t>
      </w:r>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宗地地价</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确定出让或收回土地的价格依据</w:t>
      </w:r>
    </w:p>
    <w:p>
      <w:pPr>
        <w:bidi w:val="0"/>
        <w:rPr>
          <w:rFonts w:hint="eastAsia" w:ascii="仿宋_GB2312" w:hAnsi="仿宋_GB2312" w:eastAsia="仿宋_GB2312" w:cs="仿宋_GB2312"/>
        </w:rPr>
      </w:pPr>
      <w:r>
        <w:rPr>
          <w:rFonts w:hint="eastAsia" w:ascii="仿宋_GB2312" w:hAnsi="仿宋_GB2312" w:eastAsia="仿宋_GB2312" w:cs="仿宋_GB2312"/>
        </w:rPr>
        <w:t>宗地地价是土地市场在一般供求规律上的地价，而在出让土地中，由于对不同项目和投资者的考虑，政府可以采取不同的价格进行出让，而宗地地价可作为衡量土地出让金征收标准之一。此外，国家依法收回土地，也需要确定合理的宗地地价标准。</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征收土地契税的重要依据</w:t>
      </w:r>
    </w:p>
    <w:p>
      <w:pPr>
        <w:bidi w:val="0"/>
        <w:rPr>
          <w:rFonts w:hint="eastAsia" w:ascii="仿宋_GB2312" w:hAnsi="仿宋_GB2312" w:eastAsia="仿宋_GB2312" w:cs="仿宋_GB2312"/>
        </w:rPr>
      </w:pPr>
      <w:r>
        <w:rPr>
          <w:rFonts w:hint="eastAsia" w:ascii="仿宋_GB2312" w:hAnsi="仿宋_GB2312" w:eastAsia="仿宋_GB2312" w:cs="仿宋_GB2312"/>
        </w:rPr>
        <w:t>《中华人民共和国契税暂行条例》规定的土地契税征收的依据是土地交易成交价格，确定宗地地价可以验证征收的土地契税是否得当。</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企业清产核资和改制中土地资产价格的评估依据</w:t>
      </w:r>
    </w:p>
    <w:p>
      <w:pPr>
        <w:bidi w:val="0"/>
        <w:rPr>
          <w:rFonts w:hint="eastAsia" w:ascii="仿宋_GB2312" w:hAnsi="仿宋_GB2312" w:eastAsia="仿宋_GB2312" w:cs="仿宋_GB2312"/>
        </w:rPr>
      </w:pPr>
      <w:r>
        <w:rPr>
          <w:rFonts w:hint="eastAsia" w:ascii="仿宋_GB2312" w:hAnsi="仿宋_GB2312" w:eastAsia="仿宋_GB2312" w:cs="仿宋_GB2312"/>
        </w:rPr>
        <w:t>我国绝大多数企事业单位都靠行政划拨方式取得土地使用权的，企业账面资产中不包括土地资产部分，有些也仅只有当时的征地费，不能反映土地资产的现值。为了正确反映出企业土地资产的现值，正确衡量企业的经营管理水平和发挥土地资产的效益，必须依据宗地地价对企业资产和股份制企业中的土地资产进行核实，合理反映企业土地资产状况，有效实现国家土地所有权，建立公平的竞争环境。</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优先购买权的衡量标准</w:t>
      </w:r>
    </w:p>
    <w:p>
      <w:pPr>
        <w:bidi w:val="0"/>
        <w:rPr>
          <w:rFonts w:hint="eastAsia" w:ascii="仿宋_GB2312" w:hAnsi="仿宋_GB2312" w:eastAsia="仿宋_GB2312" w:cs="仿宋_GB2312"/>
        </w:rPr>
      </w:pPr>
      <w:r>
        <w:rPr>
          <w:rFonts w:hint="eastAsia" w:ascii="仿宋_GB2312" w:hAnsi="仿宋_GB2312" w:eastAsia="仿宋_GB2312" w:cs="仿宋_GB2312"/>
        </w:rPr>
        <w:t>为增加政府管理土地市场的透明度，使土地使用者能够按市场规律进行交易并向政府申报交易价，支付相应的税费，对一些明显低于市场价的交易活动，政府可以采取优先购买权收回土地，以有效防止瞒价等行为对土地市场的不良影响，而宗地地价是决定实现优先购买的衡量标准。</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科学合理确定宗地地价的依据</w:t>
      </w:r>
    </w:p>
    <w:p>
      <w:pPr>
        <w:bidi w:val="0"/>
        <w:rPr>
          <w:rFonts w:hint="eastAsia" w:ascii="仿宋_GB2312" w:hAnsi="仿宋_GB2312" w:eastAsia="仿宋_GB2312" w:cs="仿宋_GB2312"/>
        </w:rPr>
      </w:pPr>
      <w:r>
        <w:rPr>
          <w:rFonts w:hint="eastAsia" w:ascii="仿宋_GB2312" w:hAnsi="仿宋_GB2312" w:eastAsia="仿宋_GB2312" w:cs="仿宋_GB2312"/>
        </w:rPr>
        <w:t>国有土地使用权转让、出让、抵押等交易过程中必须科学合理确定宗地地价。</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土地使用权转移时，补交土地使用权出让金的标准</w:t>
      </w:r>
    </w:p>
    <w:p>
      <w:pPr>
        <w:bidi w:val="0"/>
        <w:rPr>
          <w:rFonts w:hint="eastAsia" w:ascii="仿宋_GB2312" w:hAnsi="仿宋_GB2312" w:eastAsia="仿宋_GB2312" w:cs="仿宋_GB2312"/>
        </w:rPr>
      </w:pPr>
      <w:r>
        <w:rPr>
          <w:rFonts w:hint="eastAsia" w:ascii="仿宋_GB2312" w:hAnsi="仿宋_GB2312" w:eastAsia="仿宋_GB2312" w:cs="仿宋_GB2312"/>
        </w:rPr>
        <w:t>划拨土地使用权管理中，需根据具体地块的条件评估出标定地价，作为补交土地出让金的标准。</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确定土地增值税（费）和衡量土地使用权转移价格的标准</w:t>
      </w:r>
    </w:p>
    <w:p>
      <w:pPr>
        <w:bidi w:val="0"/>
        <w:rPr>
          <w:rFonts w:hint="eastAsia" w:ascii="仿宋_GB2312" w:hAnsi="仿宋_GB2312" w:eastAsia="仿宋_GB2312" w:cs="仿宋_GB2312"/>
        </w:rPr>
      </w:pPr>
      <w:r>
        <w:rPr>
          <w:rFonts w:hint="eastAsia" w:ascii="仿宋_GB2312" w:hAnsi="仿宋_GB2312" w:eastAsia="仿宋_GB2312" w:cs="仿宋_GB2312"/>
        </w:rPr>
        <w:t>随着社会经济和城市建设的发展，只要地价是逐年上升的，不论土地是否转移，都是按涨价后的价格标准参与经济活动，并获得收益的。因此，宗地地价可以反映不同时期地块的增值，为将来社会发展所产生的土地增值收归国家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司法仲裁中涉及的土地评估的依据</w:t>
      </w:r>
    </w:p>
    <w:p>
      <w:pPr>
        <w:bidi w:val="0"/>
        <w:rPr>
          <w:rFonts w:hint="eastAsia" w:ascii="仿宋_GB2312" w:hAnsi="仿宋_GB2312" w:eastAsia="仿宋_GB2312" w:cs="仿宋_GB2312"/>
        </w:rPr>
      </w:pPr>
      <w:r>
        <w:rPr>
          <w:rFonts w:hint="eastAsia" w:ascii="仿宋_GB2312" w:hAnsi="仿宋_GB2312" w:eastAsia="仿宋_GB2312" w:cs="仿宋_GB2312"/>
        </w:rPr>
        <w:t>在司法机关涉及的债务或其他纠纷时，必须需要确定宗地地价水平。</w:t>
      </w:r>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（三）</w:t>
      </w:r>
      <w:r>
        <w:rPr>
          <w:rFonts w:hint="eastAsia" w:ascii="仿宋_GB2312" w:hAnsi="仿宋_GB2312" w:eastAsia="仿宋_GB2312" w:cs="仿宋_GB2312"/>
        </w:rPr>
        <w:t>基准地价修正体系</w:t>
      </w:r>
    </w:p>
    <w:p>
      <w:pPr>
        <w:bidi w:val="0"/>
        <w:rPr>
          <w:rFonts w:hint="eastAsia" w:ascii="仿宋_GB2312" w:hAnsi="仿宋_GB2312" w:eastAsia="仿宋_GB2312" w:cs="仿宋_GB2312"/>
        </w:rPr>
      </w:pPr>
      <w:r>
        <w:rPr>
          <w:rFonts w:hint="eastAsia" w:ascii="仿宋_GB2312" w:hAnsi="仿宋_GB2312" w:eastAsia="仿宋_GB2312" w:cs="仿宋_GB2312"/>
        </w:rPr>
        <w:t>临河区新华镇基准地价的定义为：在估价基准日为2021年6月30日，设定土地开发程度为商服、住宅用地“五通一平”（宗地红线外通电、通路、通讯、通上水、通下水和宗地内场地平整），工业用地“四通一平”（宗地红线外通电、通路、通上水、通讯和宗地内场地平整）的条件下，各网格单元、各地价区段、各应用评价单元和各级别中，在国有土地使用权出让状态下，按商服、住宅、工业三类用途区分，在法定最高出让年限商服用地40年、居住用地70年、工业用地50年；标准容积率为商服用地1.0、居住用地1.0和工业用地0.7时的区域平均价格。</w:t>
      </w:r>
    </w:p>
    <w:p>
      <w:pPr>
        <w:bidi w:val="0"/>
        <w:rPr>
          <w:rFonts w:hint="eastAsia" w:ascii="仿宋_GB2312" w:hAnsi="仿宋_GB2312" w:eastAsia="仿宋_GB2312" w:cs="仿宋_GB2312"/>
        </w:rPr>
      </w:pPr>
      <w:r>
        <w:rPr>
          <w:rFonts w:hint="eastAsia" w:ascii="仿宋_GB2312" w:hAnsi="仿宋_GB2312" w:eastAsia="仿宋_GB2312" w:cs="仿宋_GB2312"/>
        </w:rPr>
        <w:t>基准地价的显著特点就是反映城市土地产生的实际效益，并将一定期限土地使用价值以货币形式反映出来。基准地价并不代表每宗地的具体价格，而是代表某一评价单元、某一级别、某一道路两侧的平均地价，它显示土地的一般价格差异。在实际工作中，应用最广泛的是需要确定宗地地价。为此，专门编制了基准地价修正体系，评估宗地地价应以基准地价为基准，依据基准地价修正体系，具体确定影响宗地地价的修正系数。</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应用基准地价修正体系成果的说明</w:t>
      </w:r>
    </w:p>
    <w:p>
      <w:pPr>
        <w:bidi w:val="0"/>
        <w:rPr>
          <w:rFonts w:hint="eastAsia" w:ascii="仿宋_GB2312" w:hAnsi="仿宋_GB2312" w:eastAsia="仿宋_GB2312" w:cs="仿宋_GB2312"/>
        </w:rPr>
      </w:pPr>
      <w:r>
        <w:rPr>
          <w:rFonts w:hint="eastAsia" w:ascii="仿宋_GB2312" w:hAnsi="仿宋_GB2312" w:eastAsia="仿宋_GB2312" w:cs="仿宋_GB2312"/>
        </w:rPr>
        <w:t>基准地价修正体系包括了商服、住宅、工业用地的各级地基准地价。各类基准地价的差异较大，修正方法和系数也不同，故在进行宗地地价评估时，应选择合理的基准地价。</w:t>
      </w:r>
    </w:p>
    <w:p>
      <w:pPr>
        <w:bidi w:val="0"/>
        <w:rPr>
          <w:rFonts w:hint="eastAsia" w:ascii="仿宋_GB2312" w:hAnsi="仿宋_GB2312" w:eastAsia="仿宋_GB2312" w:cs="仿宋_GB2312"/>
        </w:rPr>
      </w:pPr>
      <w:r>
        <w:rPr>
          <w:rFonts w:hint="eastAsia" w:ascii="仿宋_GB2312" w:hAnsi="仿宋_GB2312" w:eastAsia="仿宋_GB2312" w:cs="仿宋_GB2312"/>
        </w:rPr>
        <w:t>对于商服用途宗地评估，可分不同的区段按级别商服用地地价修正系数表和指标说明表，在级别基准地价的基础上修正。由于划分的评价单元已考虑到均质性因素，故修正时只需进行宗地形状、容积率等个别因素的修正。</w:t>
      </w:r>
    </w:p>
    <w:p>
      <w:pPr>
        <w:bidi w:val="0"/>
        <w:rPr>
          <w:rFonts w:hint="eastAsia" w:ascii="仿宋_GB2312" w:hAnsi="仿宋_GB2312" w:eastAsia="仿宋_GB2312" w:cs="仿宋_GB2312"/>
        </w:rPr>
      </w:pPr>
      <w:r>
        <w:rPr>
          <w:rFonts w:hint="eastAsia" w:ascii="仿宋_GB2312" w:hAnsi="仿宋_GB2312" w:eastAsia="仿宋_GB2312" w:cs="仿宋_GB2312"/>
        </w:rPr>
        <w:t>对于居住和工业用途宗地评估的修正方法采取级别住宅用地地价修正系数表和修正系数指标说明表，在级别基准地价的基础上修正。</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成果应用时效性说明</w:t>
      </w:r>
    </w:p>
    <w:p>
      <w:pPr>
        <w:bidi w:val="0"/>
        <w:rPr>
          <w:rFonts w:hint="eastAsia" w:ascii="仿宋_GB2312" w:hAnsi="仿宋_GB2312" w:eastAsia="仿宋_GB2312" w:cs="仿宋_GB2312"/>
        </w:rPr>
      </w:pPr>
      <w:r>
        <w:rPr>
          <w:rFonts w:hint="eastAsia" w:ascii="仿宋_GB2312" w:hAnsi="仿宋_GB2312" w:eastAsia="仿宋_GB2312" w:cs="仿宋_GB2312"/>
        </w:rPr>
        <w:t>土地估价是依据土地市场现状和近三年商服、工业企业用地效益状况为基础评估的。由于基准地价受土地供求关系（如土地利用规划、土地供应计划）、经济发展水平、地价指数等多方面影响，基准地价评估成果动态变化比土地定级成果要快。一般情况下，基准地价评估成果有效期为2－3年。因此，基准地价须根据土地市场状况每2－3年调整一次。</w:t>
      </w:r>
    </w:p>
    <w:p>
      <w:pPr>
        <w:pStyle w:val="5"/>
        <w:bidi w:val="0"/>
        <w:rPr>
          <w:rFonts w:hint="eastAsia" w:ascii="仿宋_GB2312" w:hAnsi="仿宋_GB2312" w:eastAsia="仿宋_GB2312" w:cs="仿宋_GB2312"/>
        </w:rPr>
      </w:pPr>
      <w:bookmarkStart w:id="58" w:name="_Toc20800"/>
      <w:bookmarkStart w:id="59" w:name="_Toc19486"/>
      <w:r>
        <w:rPr>
          <w:rFonts w:hint="eastAsia" w:ascii="仿宋_GB2312" w:hAnsi="仿宋_GB2312" w:eastAsia="仿宋_GB2312" w:cs="仿宋_GB2312"/>
        </w:rPr>
        <w:t>三、土地定级估价信息系统应用说明</w:t>
      </w:r>
      <w:bookmarkEnd w:id="58"/>
      <w:bookmarkEnd w:id="59"/>
    </w:p>
    <w:p>
      <w:pPr>
        <w:bidi w:val="0"/>
        <w:rPr>
          <w:rFonts w:hint="eastAsia" w:ascii="仿宋_GB2312" w:hAnsi="仿宋_GB2312" w:eastAsia="仿宋_GB2312" w:cs="仿宋_GB2312"/>
        </w:rPr>
      </w:pPr>
      <w:r>
        <w:rPr>
          <w:rFonts w:hint="eastAsia" w:ascii="仿宋_GB2312" w:hAnsi="仿宋_GB2312" w:eastAsia="仿宋_GB2312" w:cs="仿宋_GB2312"/>
        </w:rPr>
        <w:t>土地定级估价信息系统实现土地定级资料（表格和图件）录入、各因素因子作用分值表编制、各因素因子作用分值计算与制图、土地级别划分与论证；利用本系统可实现土地定级成果的动态管理与更新。要保持土地定级成果的现势性，关键在于及时收集与更新原始土地定级资料。</w:t>
      </w:r>
    </w:p>
    <w:p>
      <w:pPr>
        <w:bidi w:val="0"/>
        <w:rPr>
          <w:rFonts w:hint="eastAsia" w:ascii="仿宋_GB2312" w:hAnsi="仿宋_GB2312" w:eastAsia="仿宋_GB2312" w:cs="仿宋_GB2312"/>
          <w:b/>
          <w:bCs/>
          <w:sz w:val="28"/>
          <w:szCs w:val="28"/>
        </w:rPr>
      </w:pPr>
      <w:r>
        <w:rPr>
          <w:rFonts w:hint="eastAsia" w:ascii="仿宋_GB2312" w:hAnsi="仿宋_GB2312" w:eastAsia="仿宋_GB2312" w:cs="仿宋_GB2312"/>
        </w:rPr>
        <w:t>土地定级估价信息系统实现商服、工业企业用地效益级差收益模型测算级别地价、土地市场样点地价、地价样点监测的计算，并进行基准地价评估。应用本系统应及时收集城市商服、工业企业用地效益和土地市场方面资料，更新数据库，维护地价数据库的现势性。</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4"/>
      </w:pPr>
      <w:r>
        <w:separator/>
      </w:r>
    </w:p>
  </w:endnote>
  <w:endnote w:type="continuationSeparator" w:id="1">
    <w:p>
      <w:pPr>
        <w:spacing w:line="240" w:lineRule="auto"/>
        <w:ind w:firstLine="5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84"/>
      </w:pPr>
      <w:r>
        <w:separator/>
      </w:r>
    </w:p>
  </w:footnote>
  <w:footnote w:type="continuationSeparator" w:id="1">
    <w:p>
      <w:pPr>
        <w:spacing w:line="360" w:lineRule="auto"/>
        <w:ind w:firstLine="58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pacing w:before="100" w:beforeAutospacing="1" w:after="100" w:afterAutospacing="1" w:line="200" w:lineRule="atLeast"/>
      <w:ind w:firstLine="0" w:firstLineChars="0"/>
      <w:jc w:val="center"/>
      <w:rPr>
        <w:rFonts w:ascii="华文行楷" w:hAnsi="宋体" w:eastAsia="华文行楷"/>
        <w:bCs/>
        <w:sz w:val="18"/>
        <w:szCs w:val="18"/>
      </w:rPr>
    </w:pPr>
    <w:r>
      <w:rPr>
        <w:rFonts w:hint="eastAsia" w:ascii="宋体" w:hAnsi="宋体"/>
        <w:sz w:val="18"/>
        <w:szCs w:val="18"/>
      </w:rPr>
      <w:t>临河区新华镇土地定级与基准地价更新</w:t>
    </w:r>
    <w:r>
      <w:rPr>
        <w:rFonts w:hint="eastAsia" w:ascii="宋体" w:hAnsi="宋体"/>
        <w:sz w:val="18"/>
        <w:szCs w:val="18"/>
        <w:lang w:eastAsia="zh-CN"/>
      </w:rPr>
      <w:t>成果</w:t>
    </w:r>
    <w:r>
      <w:rPr>
        <w:rFonts w:hint="eastAsia" w:ascii="宋体" w:hAnsi="宋体"/>
        <w:sz w:val="18"/>
        <w:szCs w:val="18"/>
      </w:rPr>
      <w:t>报告</w:t>
    </w:r>
  </w:p>
  <w:p>
    <w:pPr>
      <w:pStyle w:val="11"/>
      <w:ind w:firstLine="3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32C0E"/>
    <w:multiLevelType w:val="singleLevel"/>
    <w:tmpl w:val="48332C0E"/>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3ZWE5ZjFmNmFiYzUwOTFmZDc1NzEwNmYzYjI3OTQifQ=="/>
  </w:docVars>
  <w:rsids>
    <w:rsidRoot w:val="00D4405B"/>
    <w:rsid w:val="00992F8F"/>
    <w:rsid w:val="00D4405B"/>
    <w:rsid w:val="00DB3BAB"/>
    <w:rsid w:val="03223749"/>
    <w:rsid w:val="03605DB0"/>
    <w:rsid w:val="03FB4C99"/>
    <w:rsid w:val="087F48A3"/>
    <w:rsid w:val="0A2907F1"/>
    <w:rsid w:val="0B5358E8"/>
    <w:rsid w:val="0B910727"/>
    <w:rsid w:val="0BBA6FAB"/>
    <w:rsid w:val="0C65286D"/>
    <w:rsid w:val="0EF526ED"/>
    <w:rsid w:val="11104A7F"/>
    <w:rsid w:val="122A0851"/>
    <w:rsid w:val="1266072B"/>
    <w:rsid w:val="129B1D9B"/>
    <w:rsid w:val="13234F1C"/>
    <w:rsid w:val="1C797167"/>
    <w:rsid w:val="1D436A48"/>
    <w:rsid w:val="1D812389"/>
    <w:rsid w:val="20E73B89"/>
    <w:rsid w:val="251A2C2B"/>
    <w:rsid w:val="2527469A"/>
    <w:rsid w:val="25C24DF6"/>
    <w:rsid w:val="25C5258E"/>
    <w:rsid w:val="25ED6560"/>
    <w:rsid w:val="26CF1730"/>
    <w:rsid w:val="27356178"/>
    <w:rsid w:val="27CE77CE"/>
    <w:rsid w:val="286749C9"/>
    <w:rsid w:val="2BC17995"/>
    <w:rsid w:val="302818A9"/>
    <w:rsid w:val="30FF784A"/>
    <w:rsid w:val="33B742B2"/>
    <w:rsid w:val="35025B5E"/>
    <w:rsid w:val="37940295"/>
    <w:rsid w:val="38F44008"/>
    <w:rsid w:val="3F394F98"/>
    <w:rsid w:val="3F5B7627"/>
    <w:rsid w:val="40A13CB3"/>
    <w:rsid w:val="47CB7D3F"/>
    <w:rsid w:val="4877324A"/>
    <w:rsid w:val="48E7440B"/>
    <w:rsid w:val="4BF0293D"/>
    <w:rsid w:val="4F14295A"/>
    <w:rsid w:val="501A1789"/>
    <w:rsid w:val="50A849D2"/>
    <w:rsid w:val="530B7DDF"/>
    <w:rsid w:val="538E073A"/>
    <w:rsid w:val="55E2114F"/>
    <w:rsid w:val="575655DC"/>
    <w:rsid w:val="57AB0265"/>
    <w:rsid w:val="581F036A"/>
    <w:rsid w:val="62303E2F"/>
    <w:rsid w:val="65492E40"/>
    <w:rsid w:val="6AE103EB"/>
    <w:rsid w:val="6B8C78B8"/>
    <w:rsid w:val="6C5216A9"/>
    <w:rsid w:val="6CB32469"/>
    <w:rsid w:val="72A01E26"/>
    <w:rsid w:val="73BD5C80"/>
    <w:rsid w:val="770327CF"/>
    <w:rsid w:val="79D2393C"/>
    <w:rsid w:val="7AC91C3D"/>
    <w:rsid w:val="7BEB4EE8"/>
    <w:rsid w:val="7CC26D00"/>
    <w:rsid w:val="7D465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left"/>
    </w:pPr>
    <w:rPr>
      <w:rFonts w:ascii="Times New Roman" w:hAnsi="Times New Roman" w:eastAsia="仿宋_GB2312" w:cs="Times New Roman"/>
      <w:spacing w:val="6"/>
      <w:kern w:val="2"/>
      <w:sz w:val="28"/>
      <w:szCs w:val="24"/>
      <w:lang w:val="en-US" w:eastAsia="zh-CN" w:bidi="ar-SA"/>
    </w:rPr>
  </w:style>
  <w:style w:type="paragraph" w:styleId="3">
    <w:name w:val="heading 1"/>
    <w:basedOn w:val="1"/>
    <w:next w:val="1"/>
    <w:qFormat/>
    <w:uiPriority w:val="0"/>
    <w:pPr>
      <w:keepNext/>
      <w:keepLines/>
      <w:spacing w:line="360" w:lineRule="auto"/>
      <w:jc w:val="center"/>
      <w:outlineLvl w:val="0"/>
    </w:pPr>
    <w:rPr>
      <w:rFonts w:eastAsia="仿宋_GB2312"/>
      <w:b/>
      <w:kern w:val="44"/>
      <w:sz w:val="32"/>
      <w:szCs w:val="20"/>
    </w:rPr>
  </w:style>
  <w:style w:type="paragraph" w:styleId="4">
    <w:name w:val="heading 2"/>
    <w:basedOn w:val="1"/>
    <w:next w:val="1"/>
    <w:qFormat/>
    <w:uiPriority w:val="0"/>
    <w:pPr>
      <w:keepNext/>
      <w:keepLines/>
      <w:spacing w:line="360" w:lineRule="auto"/>
      <w:ind w:firstLine="0" w:firstLineChars="0"/>
      <w:jc w:val="center"/>
      <w:outlineLvl w:val="1"/>
    </w:pPr>
    <w:rPr>
      <w:rFonts w:ascii="Arial" w:hAnsi="Arial" w:eastAsia="仿宋_GB2312"/>
      <w:b/>
      <w:sz w:val="30"/>
      <w:szCs w:val="20"/>
    </w:rPr>
  </w:style>
  <w:style w:type="paragraph" w:styleId="5">
    <w:name w:val="heading 3"/>
    <w:basedOn w:val="1"/>
    <w:next w:val="1"/>
    <w:unhideWhenUsed/>
    <w:qFormat/>
    <w:uiPriority w:val="0"/>
    <w:pPr>
      <w:keepNext/>
      <w:keepLines/>
      <w:spacing w:line="360" w:lineRule="auto"/>
      <w:outlineLvl w:val="2"/>
    </w:pPr>
    <w:rPr>
      <w:b/>
      <w:bCs/>
      <w:szCs w:val="32"/>
    </w:rPr>
  </w:style>
  <w:style w:type="paragraph" w:styleId="2">
    <w:name w:val="heading 4"/>
    <w:basedOn w:val="1"/>
    <w:next w:val="1"/>
    <w:unhideWhenUsed/>
    <w:qFormat/>
    <w:uiPriority w:val="0"/>
    <w:pPr>
      <w:keepNext/>
      <w:keepLines/>
      <w:spacing w:beforeLines="0" w:beforeAutospacing="0" w:afterAutospacing="0" w:line="360" w:lineRule="auto"/>
      <w:outlineLvl w:val="3"/>
    </w:pPr>
    <w:rPr>
      <w:rFonts w:ascii="Arial" w:hAnsi="Arial" w:eastAsia="仿宋_GB2312"/>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2" w:lineRule="atLeast"/>
      <w:ind w:firstLine="420" w:firstLineChars="0"/>
      <w:textAlignment w:val="baseline"/>
    </w:pPr>
    <w:rPr>
      <w:spacing w:val="0"/>
      <w:kern w:val="0"/>
      <w:szCs w:val="20"/>
    </w:rPr>
  </w:style>
  <w:style w:type="paragraph" w:styleId="7">
    <w:name w:val="toc 3"/>
    <w:basedOn w:val="1"/>
    <w:next w:val="1"/>
    <w:uiPriority w:val="0"/>
    <w:pPr>
      <w:ind w:left="840" w:leftChars="400"/>
    </w:pPr>
  </w:style>
  <w:style w:type="paragraph" w:styleId="8">
    <w:name w:val="Plain Text"/>
    <w:basedOn w:val="1"/>
    <w:qFormat/>
    <w:uiPriority w:val="0"/>
    <w:pPr>
      <w:spacing w:line="240" w:lineRule="auto"/>
      <w:ind w:firstLine="0" w:firstLineChars="0"/>
    </w:pPr>
    <w:rPr>
      <w:rFonts w:ascii="宋体" w:hAnsi="Courier New"/>
      <w:spacing w:val="0"/>
      <w:szCs w:val="20"/>
    </w:rPr>
  </w:style>
  <w:style w:type="paragraph" w:styleId="9">
    <w:name w:val="Balloon Text"/>
    <w:basedOn w:val="1"/>
    <w:link w:val="23"/>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表头"/>
    <w:basedOn w:val="1"/>
    <w:qFormat/>
    <w:uiPriority w:val="0"/>
    <w:pPr>
      <w:tabs>
        <w:tab w:val="left" w:pos="2865"/>
        <w:tab w:val="center" w:pos="4617"/>
      </w:tabs>
      <w:spacing w:before="120" w:after="120" w:line="240" w:lineRule="auto"/>
      <w:ind w:firstLine="0" w:firstLineChars="0"/>
      <w:jc w:val="center"/>
    </w:pPr>
    <w:rPr>
      <w:rFonts w:ascii="仿宋" w:hAnsi="仿宋" w:eastAsia="仿宋"/>
      <w:b/>
      <w:szCs w:val="21"/>
    </w:rPr>
  </w:style>
  <w:style w:type="paragraph" w:customStyle="1" w:styleId="18">
    <w:name w:val="表头啦啦啦"/>
    <w:basedOn w:val="1"/>
    <w:qFormat/>
    <w:uiPriority w:val="0"/>
    <w:pPr>
      <w:tabs>
        <w:tab w:val="left" w:pos="2865"/>
        <w:tab w:val="center" w:pos="4617"/>
      </w:tabs>
      <w:ind w:firstLine="0" w:firstLineChars="0"/>
      <w:jc w:val="center"/>
    </w:pPr>
    <w:rPr>
      <w:rFonts w:ascii="黑体" w:hAnsi="黑体" w:eastAsia="黑体"/>
      <w:b/>
      <w:szCs w:val="21"/>
    </w:rPr>
  </w:style>
  <w:style w:type="paragraph" w:customStyle="1" w:styleId="19">
    <w:name w:val="1表头"/>
    <w:basedOn w:val="1"/>
    <w:qFormat/>
    <w:uiPriority w:val="0"/>
    <w:pPr>
      <w:snapToGrid w:val="0"/>
      <w:spacing w:beforeLines="50"/>
      <w:ind w:firstLine="0" w:firstLineChars="0"/>
      <w:jc w:val="center"/>
    </w:pPr>
    <w:rPr>
      <w:rFonts w:hint="eastAsia" w:ascii="黑体" w:hAnsi="黑体" w:eastAsia="黑体" w:cs="黑体"/>
      <w:b/>
      <w:bCs/>
      <w:szCs w:val="21"/>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
    <w:name w:val="表内容"/>
    <w:basedOn w:val="1"/>
    <w:qFormat/>
    <w:uiPriority w:val="0"/>
    <w:pPr>
      <w:spacing w:line="240" w:lineRule="auto"/>
      <w:ind w:right="31" w:rightChars="14" w:firstLine="0" w:firstLineChars="0"/>
      <w:jc w:val="center"/>
    </w:pPr>
    <w:rPr>
      <w:sz w:val="22"/>
      <w:szCs w:val="21"/>
    </w:rPr>
  </w:style>
  <w:style w:type="character" w:customStyle="1" w:styleId="23">
    <w:name w:val="批注框文本 Char"/>
    <w:basedOn w:val="16"/>
    <w:link w:val="9"/>
    <w:qFormat/>
    <w:uiPriority w:val="0"/>
    <w:rPr>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wmf"/><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13701</Words>
  <Characters>19189</Characters>
  <Lines>177</Lines>
  <Paragraphs>50</Paragraphs>
  <TotalTime>2</TotalTime>
  <ScaleCrop>false</ScaleCrop>
  <LinksUpToDate>false</LinksUpToDate>
  <CharactersWithSpaces>19337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刘婷</cp:lastModifiedBy>
  <cp:lastPrinted>2022-07-11T06:12:57Z</cp:lastPrinted>
  <dcterms:modified xsi:type="dcterms:W3CDTF">2022-07-11T06:13:04Z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5E9A30C9052240B9B75F9D635510D808</vt:lpwstr>
  </property>
</Properties>
</file>