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4"/>
        <w:rPr>
          <w:rFonts w:hint="eastAsia" w:ascii="仿宋_GB2312" w:hAnsi="仿宋_GB2312" w:eastAsia="仿宋_GB2312" w:cs="仿宋_GB2312"/>
        </w:rPr>
      </w:pPr>
      <w:bookmarkStart w:id="0" w:name="_Toc22307"/>
    </w:p>
    <w:p>
      <w:pPr>
        <w:ind w:left="444" w:firstLine="444"/>
        <w:jc w:val="center"/>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firstLine="0" w:firstLineChars="0"/>
        <w:jc w:val="center"/>
        <w:rPr>
          <w:rFonts w:hint="eastAsia" w:ascii="仿宋_GB2312" w:hAnsi="仿宋_GB2312" w:eastAsia="仿宋_GB2312" w:cs="仿宋_GB2312"/>
          <w:b/>
          <w:spacing w:val="60"/>
          <w:sz w:val="48"/>
          <w:szCs w:val="48"/>
        </w:rPr>
      </w:pPr>
      <w:r>
        <w:rPr>
          <w:rFonts w:hint="eastAsia" w:ascii="仿宋_GB2312" w:hAnsi="仿宋_GB2312" w:eastAsia="仿宋_GB2312" w:cs="仿宋_GB2312"/>
          <w:b/>
          <w:spacing w:val="60"/>
          <w:sz w:val="48"/>
          <w:szCs w:val="48"/>
        </w:rPr>
        <w:t>巴彦淖尔市临河区乌兰图克镇</w:t>
      </w:r>
    </w:p>
    <w:p>
      <w:pPr>
        <w:ind w:firstLine="0" w:firstLineChars="0"/>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土地定级与基准地价更新成果报告</w:t>
      </w:r>
    </w:p>
    <w:p>
      <w:pPr>
        <w:spacing w:line="480" w:lineRule="auto"/>
        <w:ind w:firstLine="0" w:firstLineChars="0"/>
        <w:jc w:val="center"/>
        <w:rPr>
          <w:rFonts w:hint="eastAsia" w:ascii="仿宋_GB2312" w:hAnsi="仿宋_GB2312" w:eastAsia="仿宋_GB2312" w:cs="仿宋_GB2312"/>
          <w:b/>
          <w:bCs/>
          <w:sz w:val="48"/>
          <w:szCs w:val="48"/>
        </w:rPr>
      </w:pPr>
    </w:p>
    <w:p>
      <w:pPr>
        <w:spacing w:line="480" w:lineRule="auto"/>
        <w:ind w:firstLine="0" w:firstLineChars="0"/>
        <w:jc w:val="center"/>
        <w:rPr>
          <w:rFonts w:hint="eastAsia" w:ascii="仿宋_GB2312" w:hAnsi="仿宋_GB2312" w:eastAsia="仿宋_GB2312" w:cs="仿宋_GB2312"/>
          <w:b/>
          <w:bCs/>
          <w:sz w:val="48"/>
          <w:szCs w:val="48"/>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ind w:firstLine="0" w:firstLineChars="0"/>
        <w:rPr>
          <w:rFonts w:hint="eastAsia" w:ascii="仿宋_GB2312" w:hAnsi="仿宋_GB2312" w:eastAsia="仿宋_GB2312" w:cs="仿宋_GB2312"/>
          <w:b/>
          <w:bCs/>
          <w:sz w:val="32"/>
        </w:rPr>
      </w:pP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巴彦淖尔市自然资源局临河区分局</w:t>
      </w: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内蒙古科瑞房地产土地资产评估有限公司</w:t>
      </w:r>
    </w:p>
    <w:p>
      <w:pPr>
        <w:ind w:firstLine="0" w:firstLineChars="0"/>
        <w:jc w:val="center"/>
        <w:rPr>
          <w:rFonts w:hint="eastAsia" w:ascii="仿宋_GB2312" w:hAnsi="仿宋_GB2312" w:eastAsia="仿宋_GB2312" w:cs="仿宋_GB2312"/>
          <w:b/>
          <w:bCs/>
          <w:sz w:val="32"/>
        </w:rPr>
      </w:pPr>
      <w:r>
        <w:rPr>
          <w:rFonts w:hint="eastAsia" w:ascii="仿宋_GB2312" w:hAnsi="仿宋_GB2312" w:eastAsia="仿宋_GB2312" w:cs="仿宋_GB2312"/>
          <w:b/>
          <w:sz w:val="32"/>
          <w:szCs w:val="32"/>
        </w:rPr>
        <w:t>二〇二一年十二月</w:t>
      </w:r>
    </w:p>
    <w:p>
      <w:pPr>
        <w:spacing w:line="240" w:lineRule="auto"/>
        <w:ind w:firstLine="0" w:firstLineChars="0"/>
        <w:jc w:val="center"/>
        <w:rPr>
          <w:rFonts w:hint="eastAsia" w:ascii="仿宋_GB2312" w:hAnsi="仿宋_GB2312" w:eastAsia="仿宋_GB2312" w:cs="仿宋_GB2312"/>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440" w:right="1418" w:bottom="1440" w:left="1701" w:header="851" w:footer="992" w:gutter="0"/>
          <w:cols w:space="425" w:num="1"/>
          <w:docGrid w:linePitch="312" w:charSpace="0"/>
        </w:sectPr>
      </w:pPr>
    </w:p>
    <w:p>
      <w:pPr>
        <w:pStyle w:val="12"/>
        <w:tabs>
          <w:tab w:val="right" w:leader="dot" w:pos="8306"/>
        </w:tabs>
        <w:ind w:firstLine="0" w:firstLineChars="0"/>
        <w:rPr>
          <w:rFonts w:hint="eastAsia" w:ascii="仿宋_GB2312" w:hAnsi="仿宋_GB2312" w:eastAsia="仿宋_GB2312" w:cs="仿宋_GB2312"/>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2" w:firstLineChars="100"/>
        <w:jc w:val="center"/>
        <w:rPr>
          <w:rFonts w:hint="eastAsia" w:ascii="仿宋_GB2312" w:hAnsi="仿宋_GB2312" w:eastAsia="仿宋_GB2312" w:cs="仿宋_GB2312"/>
          <w:sz w:val="30"/>
          <w:szCs w:val="30"/>
        </w:rPr>
      </w:pPr>
    </w:p>
    <w:p>
      <w:pPr>
        <w:pStyle w:val="12"/>
        <w:tabs>
          <w:tab w:val="right" w:leader="dot" w:pos="8306"/>
        </w:tabs>
        <w:ind w:firstLine="313" w:firstLineChars="10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目</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录</w:t>
      </w:r>
    </w:p>
    <w:p>
      <w:pPr>
        <w:pStyle w:val="12"/>
        <w:tabs>
          <w:tab w:val="right" w:leader="dot" w:pos="8306"/>
        </w:tabs>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"1-3" \h \u </w:instrText>
      </w:r>
      <w:r>
        <w:rPr>
          <w:rFonts w:hint="eastAsia" w:ascii="仿宋_GB2312" w:hAnsi="仿宋_GB2312" w:eastAsia="仿宋_GB2312" w:cs="仿宋_GB2312"/>
        </w:rPr>
        <w:fldChar w:fldCharType="separate"/>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_Toc11064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第一章</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乌兰图克镇土地定级与基准地价更新技术路线</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_Toc11064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_Toc25297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土地定级的技术路线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_Toc25297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_Toc31837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_Toc31837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_Toc19488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第二章  乌兰图克镇基准地价更新成果</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_Toc19488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5</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_Toc12116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_Toc12116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_Toc22320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_Toc22320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_Toc20582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一</w:t>
      </w:r>
      <w:r>
        <w:rPr>
          <w:rFonts w:hint="eastAsia" w:ascii="仿宋_GB2312" w:hAnsi="仿宋_GB2312" w:eastAsia="仿宋_GB2312" w:cs="仿宋_GB2312"/>
        </w:rPr>
        <w:t>、商服用地基准地价个别因素修正体系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_Toc20582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_Toc8918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二、</w:t>
      </w:r>
      <w:r>
        <w:rPr>
          <w:rFonts w:hint="eastAsia" w:ascii="仿宋_GB2312" w:hAnsi="仿宋_GB2312" w:eastAsia="仿宋_GB2312" w:cs="仿宋_GB2312"/>
        </w:rPr>
        <w:t>住宅用地基准地价个别因素修正体系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_Toc8918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_Toc32763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三</w:t>
      </w:r>
      <w:r>
        <w:rPr>
          <w:rFonts w:hint="eastAsia" w:ascii="仿宋_GB2312" w:hAnsi="仿宋_GB2312" w:eastAsia="仿宋_GB2312" w:cs="仿宋_GB2312"/>
        </w:rPr>
        <w:t>、工业用地基准地价个别因素修正体系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_Toc32763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_Toc32543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四</w:t>
      </w:r>
      <w:r>
        <w:rPr>
          <w:rFonts w:hint="eastAsia" w:ascii="仿宋_GB2312" w:hAnsi="仿宋_GB2312" w:eastAsia="仿宋_GB2312" w:cs="仿宋_GB2312"/>
        </w:rPr>
        <w:t>、修正系数表及因素指标说明表编制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_Toc32543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_Toc16937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第三章</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成果对比分析</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_Toc16937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25</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_Toc27417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0"/>
        </w:rPr>
        <w:t>第一节</w:t>
      </w:r>
      <w:r>
        <w:rPr>
          <w:rFonts w:hint="eastAsia" w:ascii="仿宋_GB2312" w:hAnsi="仿宋_GB2312" w:eastAsia="仿宋_GB2312" w:cs="仿宋_GB2312"/>
          <w:szCs w:val="30"/>
          <w:lang w:val="en-US" w:eastAsia="zh-CN"/>
        </w:rPr>
        <w:t xml:space="preserve">  </w:t>
      </w:r>
      <w:r>
        <w:rPr>
          <w:rFonts w:hint="eastAsia" w:ascii="仿宋_GB2312" w:hAnsi="仿宋_GB2312" w:eastAsia="仿宋_GB2312" w:cs="仿宋_GB2312"/>
          <w:szCs w:val="30"/>
        </w:rPr>
        <w:t>成果意义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_Toc27417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_Toc16336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一、是一项重要的基础工作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_Toc16336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_Toc8709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二、有利于宏观调控土地市场，指导地产交易</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_Toc8709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_Toc11653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三、为公平合理地收取土地税费提供依据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_Toc15128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四、更好地促进土地管理工作的开展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_Toc15128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_Toc28374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五、为建立土地资产台账提供基础</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_Toc28374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_Toc14380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成果的应用说明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_Toc14380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一、土地定级成果的应用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_Toc786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zCs w:val="28"/>
        </w:rPr>
        <w:t>二、基准地价成果的应用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7"/>
        <w:tabs>
          <w:tab w:val="right" w:leader="dot" w:pos="8306"/>
        </w:tabs>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_Toc19423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三、土地定级估价信息系统应用说明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ind w:firstLine="420"/>
        <w:rPr>
          <w:rFonts w:hint="eastAsia" w:ascii="仿宋_GB2312" w:hAnsi="仿宋_GB2312" w:eastAsia="仿宋_GB2312" w:cs="仿宋_GB2312"/>
        </w:rPr>
        <w:sectPr>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rPr>
        <w:fldChar w:fldCharType="end"/>
      </w:r>
    </w:p>
    <w:p>
      <w:pPr>
        <w:pStyle w:val="3"/>
        <w:bidi w:val="0"/>
        <w:rPr>
          <w:rFonts w:hint="eastAsia" w:ascii="仿宋_GB2312" w:hAnsi="仿宋_GB2312" w:eastAsia="仿宋_GB2312" w:cs="仿宋_GB2312"/>
        </w:rPr>
      </w:pPr>
      <w:bookmarkStart w:id="1" w:name="_Toc11064"/>
      <w:bookmarkStart w:id="2" w:name="_Toc21323"/>
      <w:r>
        <w:rPr>
          <w:rFonts w:hint="eastAsia" w:ascii="仿宋_GB2312" w:hAnsi="仿宋_GB2312" w:eastAsia="仿宋_GB2312" w:cs="仿宋_GB2312"/>
        </w:rPr>
        <w:t>第一章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乌兰图克镇土地定级与基准地价更新技术路线</w:t>
      </w:r>
      <w:bookmarkEnd w:id="0"/>
      <w:bookmarkEnd w:id="1"/>
      <w:bookmarkEnd w:id="2"/>
    </w:p>
    <w:p>
      <w:pPr>
        <w:pStyle w:val="4"/>
        <w:bidi w:val="0"/>
        <w:rPr>
          <w:rFonts w:hint="eastAsia" w:ascii="仿宋_GB2312" w:hAnsi="仿宋_GB2312" w:eastAsia="仿宋_GB2312" w:cs="仿宋_GB2312"/>
          <w:szCs w:val="30"/>
        </w:rPr>
      </w:pPr>
      <w:bookmarkStart w:id="3" w:name="_Toc25297"/>
      <w:bookmarkStart w:id="4" w:name="_Toc12995"/>
      <w:bookmarkStart w:id="5" w:name="_Toc6286"/>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土地定级的技术路线</w:t>
      </w:r>
      <w:bookmarkEnd w:id="3"/>
      <w:bookmarkEnd w:id="4"/>
      <w:bookmarkEnd w:id="5"/>
    </w:p>
    <w:p>
      <w:pPr>
        <w:bidi w:val="0"/>
        <w:rPr>
          <w:rFonts w:hint="eastAsia" w:ascii="仿宋_GB2312" w:hAnsi="仿宋_GB2312" w:eastAsia="仿宋_GB2312" w:cs="仿宋_GB2312"/>
        </w:rPr>
      </w:pPr>
      <w:r>
        <w:rPr>
          <w:rFonts w:hint="eastAsia" w:ascii="仿宋_GB2312" w:hAnsi="仿宋_GB2312" w:eastAsia="仿宋_GB2312" w:cs="仿宋_GB2312"/>
        </w:rPr>
        <w:t>土地定级的技术路线采用“以网格为基本定级单元，多因素综合评定法确定单元作用总分值，根据模糊聚类原理，采用总分频率确定土地级别分值界限，依次划分土地级别，并将土地级别落实到以规划道路等自然地物为边界的应用评价单元上，利用市场交易样点地价进行校核”的技术路线，进行商服、住宅和工业用地的分类定级。形成乌兰图克镇的商服、住宅、工业用地、公服用地级别图共7张。商服用地3个级别，住宅用地2个级别，工业用地2个级别。乌兰图克镇土地定级基础资料见表1-1。</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表1-1  定级资料汇总表</w:t>
      </w:r>
    </w:p>
    <w:tbl>
      <w:tblPr>
        <w:tblStyle w:val="14"/>
        <w:tblW w:w="508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697"/>
        <w:gridCol w:w="1175"/>
        <w:gridCol w:w="2124"/>
        <w:gridCol w:w="44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pacing w:val="0"/>
                <w:kern w:val="0"/>
                <w:sz w:val="21"/>
                <w:szCs w:val="21"/>
              </w:rPr>
              <w:t>序号</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因子名称</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图形数据</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属性数据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商服中心</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乌兰图克镇地形图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名称、位置、占地面积、营业面积、商服网点数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道路通达度</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乌兰图克镇路网图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名称、宽度、长度、车流量、性质（主干道、次干道、支路）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供水状况</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乌兰图克镇给水工程规划图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排水状况</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乌兰图克镇排水工程规划图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学校</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乌兰图克镇中小学分布图、学校调查表</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名称、位置、数量、占地面积、建筑面积（㎡）、在校人数（人）、教师人数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医院</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乌兰图克镇近期建设规划图、医院调查表</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名称、位置、占地面积、建筑面积、病床数、医护人员数量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52"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文体场馆</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乌兰图克镇现状图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名称、位置、数量、占地面积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银行</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乌兰图克镇近期建设规划图、银行调查表</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名称、占地面积、建筑面积（㎡）、储蓄金额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56" w:hRule="atLeast"/>
        </w:trPr>
        <w:tc>
          <w:tcPr>
            <w:tcW w:w="411"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产业集聚状况</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乌兰图克镇地形图、乌兰图克镇驻地总体规划图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等级（大、中、小型工业区和工业点）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规划道路</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乌兰图克镇道路交通规划图、乌兰图克镇用地规划图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名称、路宽、建成状况、长度、性质（主干道、次干道、支路）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4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69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规划用途</w:t>
            </w:r>
          </w:p>
        </w:tc>
        <w:tc>
          <w:tcPr>
            <w:tcW w:w="1253"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乌兰图克镇驻地总体规划图</w:t>
            </w:r>
          </w:p>
        </w:tc>
        <w:tc>
          <w:tcPr>
            <w:tcW w:w="2640" w:type="pct"/>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面积、规划地类（商服、住宅、工业、市政、文教、卫生等）</w:t>
            </w:r>
          </w:p>
        </w:tc>
      </w:tr>
    </w:tbl>
    <w:p>
      <w:pPr>
        <w:pStyle w:val="4"/>
        <w:bidi w:val="0"/>
        <w:rPr>
          <w:rFonts w:hint="eastAsia" w:ascii="仿宋_GB2312" w:hAnsi="仿宋_GB2312" w:eastAsia="仿宋_GB2312" w:cs="仿宋_GB2312"/>
        </w:rPr>
      </w:pPr>
      <w:bookmarkStart w:id="6" w:name="_Toc11249"/>
      <w:bookmarkStart w:id="7" w:name="_Toc20281"/>
      <w:bookmarkStart w:id="8" w:name="_Toc31837"/>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bookmarkEnd w:id="6"/>
      <w:bookmarkEnd w:id="7"/>
      <w:bookmarkEnd w:id="8"/>
    </w:p>
    <w:p>
      <w:pPr>
        <w:bidi w:val="0"/>
        <w:rPr>
          <w:rFonts w:hint="eastAsia" w:ascii="仿宋_GB2312" w:hAnsi="仿宋_GB2312" w:eastAsia="仿宋_GB2312" w:cs="仿宋_GB2312"/>
        </w:rPr>
      </w:pPr>
      <w:r>
        <w:rPr>
          <w:rFonts w:hint="eastAsia" w:ascii="仿宋_GB2312" w:hAnsi="仿宋_GB2312" w:eastAsia="仿宋_GB2312" w:cs="仿宋_GB2312"/>
        </w:rPr>
        <w:t>临河区乌兰图克镇土地的基准地价评估，采取“以土地定级为基础，用市场交易价格等资料分商服、住宅和工业用地评估基准地价，以级控价，以价验级”的技术路线；“用均值-方差法评估级别基准地价”、“建立样点地价和土地级别的模型评估级别基准地价”和“用样点地价与样点定级因素总分值建立数学模型评估级别基准地价”这三种方法综合确定基准地价。乌兰图克镇样点资料及相关基础资料见表1-2至表1-6。</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表1-2临河区乌兰图克镇样点资料分类统计表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0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9" w:type="pct"/>
            <w:tcBorders>
              <w:top w:val="double" w:color="auto" w:sz="4" w:space="0"/>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样点类型</w:t>
            </w:r>
          </w:p>
        </w:tc>
        <w:tc>
          <w:tcPr>
            <w:tcW w:w="1816" w:type="pct"/>
            <w:tcBorders>
              <w:top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样点数（个）</w:t>
            </w:r>
          </w:p>
        </w:tc>
        <w:tc>
          <w:tcPr>
            <w:tcW w:w="1384" w:type="pct"/>
            <w:tcBorders>
              <w:top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有效样点（个）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9" w:type="pct"/>
            <w:tcBorders>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商服用地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9" w:type="pct"/>
            <w:tcBorders>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住宅用地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9" w:type="pct"/>
            <w:tcBorders>
              <w:lef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工业用地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9" w:type="pct"/>
            <w:tcBorders>
              <w:left w:val="double" w:color="auto" w:sz="4" w:space="0"/>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总计</w:t>
            </w:r>
          </w:p>
        </w:tc>
        <w:tc>
          <w:tcPr>
            <w:tcW w:w="1816" w:type="pct"/>
            <w:tcBorders>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1384" w:type="pct"/>
            <w:tcBorders>
              <w:bottom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r>
    </w:tbl>
    <w:p>
      <w:pPr>
        <w:pStyle w:val="19"/>
        <w:spacing w:before="156"/>
        <w:rPr>
          <w:rFonts w:hint="eastAsia" w:ascii="仿宋_GB2312" w:hAnsi="仿宋_GB2312" w:eastAsia="仿宋_GB2312" w:cs="仿宋_GB2312"/>
          <w:sz w:val="21"/>
          <w:szCs w:val="21"/>
        </w:rPr>
        <w:sectPr>
          <w:headerReference r:id="rId11" w:type="default"/>
          <w:footerReference r:id="rId12" w:type="default"/>
          <w:pgSz w:w="11906" w:h="16838"/>
          <w:pgMar w:top="1440" w:right="1800" w:bottom="1440" w:left="1800" w:header="851" w:footer="992" w:gutter="0"/>
          <w:pgNumType w:fmt="decimal" w:start="1"/>
          <w:cols w:space="425" w:num="1"/>
          <w:docGrid w:type="lines" w:linePitch="312" w:charSpace="0"/>
        </w:sectPr>
      </w:pP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表1-3 临河区乌兰图克镇房屋重置价、残值率、耐用年限标准表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27"/>
        <w:gridCol w:w="2326"/>
        <w:gridCol w:w="193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top w:val="double" w:color="auto" w:sz="4" w:space="0"/>
              <w:left w:val="double" w:color="auto" w:sz="4" w:space="0"/>
              <w:tl2br w:val="sing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参数类别</w:t>
            </w:r>
          </w:p>
          <w:p>
            <w:pPr>
              <w:spacing w:line="240" w:lineRule="auto"/>
              <w:ind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房屋结构</w:t>
            </w:r>
          </w:p>
        </w:tc>
        <w:tc>
          <w:tcPr>
            <w:tcW w:w="1364" w:type="pct"/>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重置价（元/平方米）</w:t>
            </w:r>
          </w:p>
        </w:tc>
        <w:tc>
          <w:tcPr>
            <w:tcW w:w="1134" w:type="pct"/>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残值率（%）</w:t>
            </w:r>
          </w:p>
        </w:tc>
        <w:tc>
          <w:tcPr>
            <w:tcW w:w="1138" w:type="pct"/>
            <w:tcBorders>
              <w:top w:val="double" w:color="auto" w:sz="4" w:space="0"/>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耐用年限（年）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钢混一等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钢混二等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砖混结构一等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砖混结构二等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砖混结构三等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砖木结构一等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砖木结构二等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砖木结构三等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土木结构一等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490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土木结构二等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土木结构三等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pct"/>
            <w:gridSpan w:val="2"/>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简易结构</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08" w:type="pct"/>
            <w:vMerge w:val="restart"/>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库房</w:t>
            </w:r>
          </w:p>
        </w:tc>
        <w:tc>
          <w:tcPr>
            <w:tcW w:w="95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砖混结构一等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715</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08" w:type="pct"/>
            <w:vMerge w:val="continue"/>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95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砖混结构二等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625</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08" w:type="pct"/>
            <w:vMerge w:val="continue"/>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95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砖木结构一等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515</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08" w:type="pct"/>
            <w:vMerge w:val="continue"/>
            <w:tcBorders>
              <w:left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95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砖木结构二等</w:t>
            </w:r>
          </w:p>
        </w:tc>
        <w:tc>
          <w:tcPr>
            <w:tcW w:w="136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310</w:t>
            </w:r>
          </w:p>
        </w:tc>
        <w:tc>
          <w:tcPr>
            <w:tcW w:w="1134" w:type="pct"/>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138" w:type="pct"/>
            <w:tcBorders>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408" w:type="pct"/>
            <w:vMerge w:val="continue"/>
            <w:tcBorders>
              <w:left w:val="double" w:color="auto" w:sz="4" w:space="0"/>
              <w:bottom w:val="double" w:color="auto" w:sz="4" w:space="0"/>
            </w:tcBorders>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954" w:type="pct"/>
            <w:tcBorders>
              <w:bottom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土木结构</w:t>
            </w:r>
          </w:p>
        </w:tc>
        <w:tc>
          <w:tcPr>
            <w:tcW w:w="1364" w:type="pct"/>
            <w:tcBorders>
              <w:bottom w:val="double" w:color="auto" w:sz="4" w:space="0"/>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w:t>
            </w:r>
          </w:p>
        </w:tc>
        <w:tc>
          <w:tcPr>
            <w:tcW w:w="1134" w:type="pct"/>
            <w:tcBorders>
              <w:bottom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138" w:type="pct"/>
            <w:tcBorders>
              <w:bottom w:val="double" w:color="auto" w:sz="4" w:space="0"/>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r>
    </w:tbl>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表1-4临河区乌兰图克镇房屋交易税费征收标准表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7"/>
        <w:gridCol w:w="2119"/>
        <w:gridCol w:w="2910"/>
        <w:gridCol w:w="16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338"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r>
              <w:rPr>
                <w:rFonts w:hint="eastAsia" w:ascii="仿宋_GB2312" w:hAnsi="仿宋_GB2312" w:eastAsia="仿宋_GB2312" w:cs="仿宋_GB2312"/>
                <w:b/>
                <w:sz w:val="21"/>
                <w:szCs w:val="21"/>
              </w:rPr>
              <w:t>项目</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税率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出租不动产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（租赁价格）</w:t>
            </w: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商服5% 住宅1.5%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商服0.60%</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住宅0.18%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商服12% 住宅4%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（销售价格）</w:t>
            </w: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3"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w:t>
            </w:r>
          </w:p>
        </w:tc>
      </w:tr>
    </w:tbl>
    <w:p>
      <w:pPr>
        <w:spacing w:beforeLines="20" w:afterLines="20" w:line="324" w:lineRule="auto"/>
        <w:ind w:firstLine="446"/>
        <w:jc w:val="center"/>
        <w:rPr>
          <w:rFonts w:hint="eastAsia" w:ascii="仿宋_GB2312" w:hAnsi="仿宋_GB2312" w:eastAsia="仿宋_GB2312" w:cs="仿宋_GB2312"/>
          <w:b/>
          <w:bCs/>
          <w:sz w:val="21"/>
          <w:szCs w:val="21"/>
        </w:rPr>
      </w:pPr>
    </w:p>
    <w:p>
      <w:pPr>
        <w:spacing w:beforeLines="20" w:afterLines="20" w:line="324" w:lineRule="auto"/>
        <w:ind w:firstLine="446"/>
        <w:jc w:val="center"/>
        <w:rPr>
          <w:rFonts w:hint="eastAsia" w:ascii="仿宋_GB2312" w:hAnsi="仿宋_GB2312" w:eastAsia="仿宋_GB2312" w:cs="仿宋_GB2312"/>
          <w:b/>
          <w:bCs/>
          <w:sz w:val="21"/>
          <w:szCs w:val="21"/>
        </w:rPr>
      </w:pP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表1-5   还原利率计算结果表</w:t>
      </w:r>
    </w:p>
    <w:tbl>
      <w:tblPr>
        <w:tblStyle w:val="14"/>
        <w:tblW w:w="8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46"/>
        <w:gridCol w:w="930"/>
        <w:gridCol w:w="1053"/>
        <w:gridCol w:w="935"/>
        <w:gridCol w:w="1006"/>
        <w:gridCol w:w="914"/>
        <w:gridCol w:w="1073"/>
        <w:gridCol w:w="9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72" w:type="dxa"/>
            <w:tcBorders>
              <w:top w:val="double" w:color="auto" w:sz="4" w:space="0"/>
              <w:left w:val="doub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b/>
                <w:bCs/>
                <w:sz w:val="21"/>
                <w:szCs w:val="21"/>
              </w:rPr>
            </w:pPr>
            <w:bookmarkStart w:id="9" w:name="_Toc4619"/>
            <w:bookmarkStart w:id="10" w:name="_Toc446580297"/>
            <w:r>
              <w:rPr>
                <w:rFonts w:hint="eastAsia" w:ascii="仿宋_GB2312" w:hAnsi="仿宋_GB2312" w:eastAsia="仿宋_GB2312" w:cs="仿宋_GB2312"/>
                <w:b/>
                <w:bCs/>
                <w:sz w:val="21"/>
                <w:szCs w:val="21"/>
              </w:rPr>
              <w:t>用地</w:t>
            </w:r>
          </w:p>
          <w:p>
            <w:pPr>
              <w:widowControl/>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rPr>
              <w:t>类型</w:t>
            </w:r>
          </w:p>
        </w:tc>
        <w:tc>
          <w:tcPr>
            <w:tcW w:w="2729" w:type="dxa"/>
            <w:gridSpan w:val="3"/>
            <w:tcBorders>
              <w:top w:val="doub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2855" w:type="dxa"/>
            <w:gridSpan w:val="3"/>
            <w:tcBorders>
              <w:top w:val="doub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2064" w:type="dxa"/>
            <w:gridSpan w:val="2"/>
            <w:tcBorders>
              <w:top w:val="double" w:color="auto" w:sz="4" w:space="0"/>
              <w:left w:val="single" w:color="auto" w:sz="4" w:space="0"/>
              <w:bottom w:val="single" w:color="auto" w:sz="4" w:space="0"/>
              <w:right w:val="double" w:color="auto" w:sz="4" w:space="0"/>
            </w:tcBorders>
            <w:vAlign w:val="center"/>
          </w:tcPr>
          <w:p>
            <w:pPr>
              <w:widowControl/>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72" w:type="dxa"/>
            <w:tcBorders>
              <w:top w:val="single" w:color="auto" w:sz="4" w:space="0"/>
              <w:left w:val="doub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利率</w:t>
            </w:r>
          </w:p>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类型</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土地还原利率</w:t>
            </w:r>
          </w:p>
        </w:tc>
        <w:tc>
          <w:tcPr>
            <w:tcW w:w="9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建筑物还原利率</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综合还原利率</w:t>
            </w:r>
          </w:p>
        </w:tc>
        <w:tc>
          <w:tcPr>
            <w:tcW w:w="9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土地还原利率</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建筑物还原利率</w:t>
            </w:r>
          </w:p>
        </w:tc>
        <w:tc>
          <w:tcPr>
            <w:tcW w:w="9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综合还原利率</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土地还原利率</w:t>
            </w:r>
          </w:p>
        </w:tc>
        <w:tc>
          <w:tcPr>
            <w:tcW w:w="991" w:type="dxa"/>
            <w:tcBorders>
              <w:top w:val="single" w:color="auto" w:sz="4" w:space="0"/>
              <w:left w:val="single" w:color="auto" w:sz="4" w:space="0"/>
              <w:bottom w:val="single" w:color="auto" w:sz="4" w:space="0"/>
              <w:right w:val="double" w:color="auto" w:sz="4" w:space="0"/>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建筑物还原利率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72" w:type="dxa"/>
            <w:tcBorders>
              <w:top w:val="single" w:color="auto" w:sz="4" w:space="0"/>
              <w:left w:val="double" w:color="auto" w:sz="4" w:space="0"/>
              <w:bottom w:val="double" w:color="auto" w:sz="4" w:space="0"/>
              <w:right w:val="single" w:color="auto" w:sz="4" w:space="0"/>
            </w:tcBorders>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计算</w:t>
            </w:r>
          </w:p>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结果</w:t>
            </w:r>
          </w:p>
        </w:tc>
        <w:tc>
          <w:tcPr>
            <w:tcW w:w="746"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6.55</w:t>
            </w:r>
          </w:p>
        </w:tc>
        <w:tc>
          <w:tcPr>
            <w:tcW w:w="930"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8.95</w:t>
            </w:r>
          </w:p>
        </w:tc>
        <w:tc>
          <w:tcPr>
            <w:tcW w:w="1053"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7.76</w:t>
            </w:r>
          </w:p>
        </w:tc>
        <w:tc>
          <w:tcPr>
            <w:tcW w:w="935"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5.82</w:t>
            </w:r>
          </w:p>
        </w:tc>
        <w:tc>
          <w:tcPr>
            <w:tcW w:w="1006"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8.27</w:t>
            </w:r>
          </w:p>
        </w:tc>
        <w:tc>
          <w:tcPr>
            <w:tcW w:w="914" w:type="dxa"/>
            <w:tcBorders>
              <w:top w:val="single" w:color="auto" w:sz="4" w:space="0"/>
              <w:left w:val="single" w:color="auto" w:sz="4" w:space="0"/>
              <w:bottom w:val="double" w:color="auto" w:sz="4" w:space="0"/>
              <w:right w:val="single" w:color="auto" w:sz="4" w:space="0"/>
            </w:tcBorders>
            <w:vAlign w:val="center"/>
          </w:tcPr>
          <w:p>
            <w:pPr>
              <w:numPr>
                <w:ilvl w:val="0"/>
                <w:numId w:val="1"/>
              </w:num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08</w:t>
            </w:r>
          </w:p>
        </w:tc>
        <w:tc>
          <w:tcPr>
            <w:tcW w:w="1073" w:type="dxa"/>
            <w:tcBorders>
              <w:top w:val="single" w:color="auto" w:sz="4" w:space="0"/>
              <w:left w:val="single" w:color="auto" w:sz="4" w:space="0"/>
              <w:bottom w:val="double" w:color="auto" w:sz="4" w:space="0"/>
              <w:right w:val="single" w:color="auto" w:sz="4" w:space="0"/>
            </w:tcBorders>
            <w:vAlign w:val="center"/>
          </w:tcPr>
          <w:p>
            <w:pPr>
              <w:adjustRightInd w:val="0"/>
              <w:snapToGrid w:val="0"/>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4.85</w:t>
            </w:r>
          </w:p>
        </w:tc>
        <w:tc>
          <w:tcPr>
            <w:tcW w:w="991" w:type="dxa"/>
            <w:tcBorders>
              <w:top w:val="single" w:color="auto" w:sz="4" w:space="0"/>
              <w:left w:val="single" w:color="auto" w:sz="4" w:space="0"/>
              <w:bottom w:val="double" w:color="auto" w:sz="4" w:space="0"/>
              <w:right w:val="double" w:color="auto" w:sz="4" w:space="0"/>
            </w:tcBorders>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bl>
    <w:p>
      <w:pPr>
        <w:pStyle w:val="3"/>
        <w:spacing w:before="0" w:after="0" w:line="360" w:lineRule="auto"/>
        <w:ind w:firstLine="0" w:firstLineChars="0"/>
        <w:rPr>
          <w:rFonts w:hint="eastAsia" w:ascii="仿宋_GB2312" w:hAnsi="仿宋_GB2312" w:eastAsia="仿宋_GB2312" w:cs="仿宋_GB2312"/>
          <w:color w:val="000000"/>
          <w:sz w:val="32"/>
          <w:szCs w:val="32"/>
        </w:rPr>
        <w:sectPr>
          <w:pgSz w:w="11906" w:h="16838"/>
          <w:pgMar w:top="1440" w:right="1800" w:bottom="1440" w:left="1800" w:header="851" w:footer="992" w:gutter="0"/>
          <w:pgNumType w:fmt="decimal"/>
          <w:cols w:space="425" w:num="1"/>
          <w:docGrid w:type="lines" w:linePitch="312" w:charSpace="0"/>
        </w:sectPr>
      </w:pPr>
    </w:p>
    <w:p>
      <w:pPr>
        <w:pStyle w:val="3"/>
        <w:bidi w:val="0"/>
        <w:rPr>
          <w:rFonts w:hint="eastAsia" w:ascii="仿宋_GB2312" w:hAnsi="仿宋_GB2312" w:eastAsia="仿宋_GB2312" w:cs="仿宋_GB2312"/>
        </w:rPr>
      </w:pPr>
      <w:bookmarkStart w:id="11" w:name="_Toc19488"/>
      <w:bookmarkStart w:id="12" w:name="_Toc31473"/>
      <w:r>
        <w:rPr>
          <w:rFonts w:hint="eastAsia" w:ascii="仿宋_GB2312" w:hAnsi="仿宋_GB2312" w:eastAsia="仿宋_GB2312" w:cs="仿宋_GB2312"/>
        </w:rPr>
        <w:t>第二章  乌兰图克镇基准地价更新成果</w:t>
      </w:r>
      <w:bookmarkEnd w:id="9"/>
      <w:bookmarkEnd w:id="10"/>
      <w:bookmarkEnd w:id="11"/>
      <w:bookmarkEnd w:id="12"/>
    </w:p>
    <w:p>
      <w:pPr>
        <w:pStyle w:val="4"/>
        <w:bidi w:val="0"/>
        <w:rPr>
          <w:rFonts w:hint="eastAsia" w:ascii="仿宋_GB2312" w:hAnsi="仿宋_GB2312" w:eastAsia="仿宋_GB2312" w:cs="仿宋_GB2312"/>
        </w:rPr>
      </w:pPr>
      <w:bookmarkStart w:id="13" w:name="_Toc6760"/>
      <w:bookmarkStart w:id="14" w:name="_Toc12116"/>
      <w:bookmarkStart w:id="15" w:name="_Toc20069"/>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bookmarkEnd w:id="13"/>
      <w:bookmarkEnd w:id="14"/>
      <w:bookmarkEnd w:id="15"/>
    </w:p>
    <w:p>
      <w:pPr>
        <w:bidi w:val="0"/>
        <w:rPr>
          <w:rFonts w:hint="eastAsia" w:ascii="仿宋_GB2312" w:hAnsi="仿宋_GB2312" w:eastAsia="仿宋_GB2312" w:cs="仿宋_GB2312"/>
        </w:rPr>
      </w:pPr>
      <w:r>
        <w:rPr>
          <w:rFonts w:hint="eastAsia" w:ascii="仿宋_GB2312" w:hAnsi="仿宋_GB2312" w:eastAsia="仿宋_GB2312" w:cs="仿宋_GB2312"/>
        </w:rPr>
        <w:t>临河区乌兰图克镇此次基准地价更新的评估基准日是2021年6月30日。同时，综合考虑临河区乌兰图克镇近四年土地招、拍、挂出让案例和最新的控制性土地开发强度规划指标，依据临河区乌兰图克镇地区实际经济发展情况，为切实反映地区经济发展的差异性，更准确体现不同地区的基准地价实际水平，此次基准地价更新评估采用城区差别化地价内涵设定。</w:t>
      </w:r>
    </w:p>
    <w:p>
      <w:pPr>
        <w:bidi w:val="0"/>
        <w:rPr>
          <w:rFonts w:hint="eastAsia" w:ascii="仿宋_GB2312" w:hAnsi="仿宋_GB2312" w:eastAsia="仿宋_GB2312" w:cs="仿宋_GB2312"/>
        </w:rPr>
      </w:pPr>
      <w:r>
        <w:rPr>
          <w:rFonts w:hint="eastAsia" w:ascii="仿宋_GB2312" w:hAnsi="仿宋_GB2312" w:eastAsia="仿宋_GB2312" w:cs="仿宋_GB2312"/>
        </w:rPr>
        <w:t>设定土地开发程度为商服用地、住宅用地 “五通一平”（宗地红线外通路、通电、通上水、通下水、通讯和宗地内场地平整），工业用地“四通一平”（宗地红线外通路、通电、通讯、通上水和宗地内场地平整）。</w:t>
      </w:r>
    </w:p>
    <w:p>
      <w:pPr>
        <w:bidi w:val="0"/>
        <w:rPr>
          <w:rFonts w:hint="eastAsia" w:ascii="仿宋_GB2312" w:hAnsi="仿宋_GB2312" w:eastAsia="仿宋_GB2312" w:cs="仿宋_GB2312"/>
        </w:rPr>
      </w:pPr>
      <w:r>
        <w:rPr>
          <w:rFonts w:hint="eastAsia" w:ascii="仿宋_GB2312" w:hAnsi="仿宋_GB2312" w:eastAsia="仿宋_GB2312" w:cs="仿宋_GB2312"/>
        </w:rPr>
        <w:t>法定土地使用权最高出让年限为商服用地40年、住宅用地70年、工业用地50年。</w:t>
      </w:r>
    </w:p>
    <w:p>
      <w:pPr>
        <w:bidi w:val="0"/>
        <w:rPr>
          <w:rFonts w:hint="eastAsia" w:ascii="仿宋_GB2312" w:hAnsi="仿宋_GB2312" w:eastAsia="仿宋_GB2312" w:cs="仿宋_GB2312"/>
        </w:rPr>
      </w:pPr>
      <w:r>
        <w:rPr>
          <w:rFonts w:hint="eastAsia" w:ascii="仿宋_GB2312" w:hAnsi="仿宋_GB2312" w:eastAsia="仿宋_GB2312" w:cs="仿宋_GB2312"/>
        </w:rPr>
        <w:t>容积率的设定：商服用地平均容积率为1.0，住宅用地平均容积率为1.0，工业用地平均容积率为0.7。</w:t>
      </w:r>
    </w:p>
    <w:p>
      <w:pPr>
        <w:bidi w:val="0"/>
        <w:rPr>
          <w:rFonts w:hint="eastAsia" w:ascii="仿宋_GB2312" w:hAnsi="仿宋_GB2312" w:eastAsia="仿宋_GB2312" w:cs="仿宋_GB2312"/>
        </w:rPr>
      </w:pPr>
      <w:r>
        <w:rPr>
          <w:rFonts w:hint="eastAsia" w:ascii="仿宋_GB2312" w:hAnsi="仿宋_GB2312" w:eastAsia="仿宋_GB2312" w:cs="仿宋_GB2312"/>
        </w:rPr>
        <w:t>地价表达形式，根据临河区乌兰图克镇地价楼层分布特征和应用需要，设定：</w:t>
      </w:r>
    </w:p>
    <w:p>
      <w:pPr>
        <w:bidi w:val="0"/>
        <w:rPr>
          <w:rFonts w:hint="eastAsia" w:ascii="仿宋_GB2312" w:hAnsi="仿宋_GB2312" w:eastAsia="仿宋_GB2312" w:cs="仿宋_GB2312"/>
        </w:rPr>
      </w:pPr>
      <w:r>
        <w:rPr>
          <w:rFonts w:hint="eastAsia" w:ascii="仿宋_GB2312" w:hAnsi="仿宋_GB2312" w:eastAsia="仿宋_GB2312" w:cs="仿宋_GB2312"/>
        </w:rPr>
        <w:t>1、商服用地基准地价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2、住宅用地基准地价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3、工业用地基准地价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是：平均容积率0.7下的平均基准地价，即平均容积率0.7下的每平方米面积分摊的土地使用权平均价格。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基准地价内涵说明见下表。</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表2-1基准地价内涵说明表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261"/>
        <w:gridCol w:w="2214"/>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 w:type="pct"/>
            <w:tcBorders>
              <w:top w:val="double" w:color="auto" w:sz="4" w:space="0"/>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用途</w:t>
            </w:r>
          </w:p>
        </w:tc>
        <w:tc>
          <w:tcPr>
            <w:tcW w:w="1327" w:type="pct"/>
            <w:tcBorders>
              <w:top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w:t>
            </w:r>
          </w:p>
        </w:tc>
        <w:tc>
          <w:tcPr>
            <w:tcW w:w="1299" w:type="pct"/>
            <w:tcBorders>
              <w:top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w:t>
            </w:r>
          </w:p>
        </w:tc>
        <w:tc>
          <w:tcPr>
            <w:tcW w:w="1400" w:type="pct"/>
            <w:tcBorders>
              <w:top w:val="double" w:color="auto" w:sz="4" w:space="0"/>
              <w:righ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 w:type="pct"/>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价格构成</w:t>
            </w:r>
          </w:p>
        </w:tc>
        <w:tc>
          <w:tcPr>
            <w:tcW w:w="4027" w:type="pct"/>
            <w:gridSpan w:val="3"/>
            <w:tcBorders>
              <w:right w:val="double" w:color="auto" w:sz="4" w:space="0"/>
            </w:tcBorders>
            <w:vAlign w:val="center"/>
          </w:tcPr>
          <w:p>
            <w:pPr>
              <w:pStyle w:val="6"/>
              <w:spacing w:line="360" w:lineRule="atLeast"/>
              <w:ind w:left="0" w:leftChars="0" w:firstLine="0" w:firstLine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土地取得费、土地开发配套费用、应纳税费、利息、利润、土地增值收益。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 w:type="pct"/>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评估期日</w:t>
            </w:r>
          </w:p>
        </w:tc>
        <w:tc>
          <w:tcPr>
            <w:tcW w:w="4027" w:type="pct"/>
            <w:gridSpan w:val="3"/>
            <w:tcBorders>
              <w:right w:val="double" w:color="auto" w:sz="4" w:space="0"/>
            </w:tcBorders>
            <w:vAlign w:val="center"/>
          </w:tcPr>
          <w:p>
            <w:pPr>
              <w:pStyle w:val="6"/>
              <w:spacing w:line="360" w:lineRule="atLeast"/>
              <w:ind w:firstLine="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 w:type="pct"/>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土地开发程度</w:t>
            </w:r>
          </w:p>
        </w:tc>
        <w:tc>
          <w:tcPr>
            <w:tcW w:w="4027" w:type="pct"/>
            <w:gridSpan w:val="3"/>
            <w:tcBorders>
              <w:right w:val="double" w:color="auto" w:sz="4" w:space="0"/>
            </w:tcBorders>
            <w:vAlign w:val="center"/>
          </w:tcPr>
          <w:p>
            <w:pPr>
              <w:pStyle w:val="6"/>
              <w:spacing w:line="360" w:lineRule="atLeast"/>
              <w:ind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住宅用地设定开发程度均设定为“五通一平”（宗地红线外通路、通电、通上水、通下水、通讯和宗地内场地平整）；工业用地设定开发程度均设定为“四通一平”（宗地红线外通路、通电、通上水、通讯和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 w:type="pct"/>
            <w:tcBorders>
              <w:lef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土地使用年期</w:t>
            </w:r>
          </w:p>
        </w:tc>
        <w:tc>
          <w:tcPr>
            <w:tcW w:w="1327" w:type="pct"/>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1299" w:type="pct"/>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1400" w:type="pct"/>
            <w:tcBorders>
              <w:righ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 w:type="pct"/>
            <w:tcBorders>
              <w:left w:val="double" w:color="auto" w:sz="4" w:space="0"/>
              <w:bottom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平均容积率</w:t>
            </w:r>
          </w:p>
        </w:tc>
        <w:tc>
          <w:tcPr>
            <w:tcW w:w="1327" w:type="pct"/>
            <w:tcBorders>
              <w:bottom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299" w:type="pct"/>
            <w:tcBorders>
              <w:bottom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400" w:type="pct"/>
            <w:tcBorders>
              <w:bottom w:val="double" w:color="auto" w:sz="4" w:space="0"/>
              <w:right w:val="double" w:color="auto" w:sz="4" w:space="0"/>
            </w:tcBorders>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0.7</w:t>
            </w:r>
          </w:p>
        </w:tc>
      </w:tr>
    </w:tbl>
    <w:p>
      <w:pPr>
        <w:bidi w:val="0"/>
        <w:rPr>
          <w:rFonts w:hint="eastAsia" w:ascii="仿宋_GB2312" w:hAnsi="仿宋_GB2312" w:eastAsia="仿宋_GB2312" w:cs="仿宋_GB2312"/>
        </w:rPr>
      </w:pPr>
      <w:r>
        <w:rPr>
          <w:rFonts w:hint="eastAsia" w:ascii="仿宋_GB2312" w:hAnsi="仿宋_GB2312" w:eastAsia="仿宋_GB2312" w:cs="仿宋_GB2312"/>
        </w:rPr>
        <w:t>乌兰图克镇2021年基准地价更新采用分类定级的方式，即依据不同用途进行土地级别划分和基准地价确定，各用途各级别基准地价价格如表2-2。</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表2-2乌兰图克镇各类用地基准地价表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5"/>
        <w:gridCol w:w="2108"/>
        <w:gridCol w:w="2108"/>
        <w:gridCol w:w="2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vMerge w:val="restart"/>
            <w:tcBorders>
              <w:top w:val="double" w:color="auto" w:sz="4" w:space="0"/>
              <w:left w:val="double" w:color="auto" w:sz="4" w:space="0"/>
              <w:bottom w:val="single" w:color="auto" w:sz="6" w:space="0"/>
              <w:right w:val="single" w:color="auto" w:sz="4" w:space="0"/>
              <w:tl2br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bookmarkStart w:id="16" w:name="_Toc454869985"/>
            <w:bookmarkStart w:id="17" w:name="_Toc25234"/>
            <w:bookmarkStart w:id="18" w:name="_Toc454553814"/>
            <w:r>
              <w:rPr>
                <w:rFonts w:hint="eastAsia" w:ascii="仿宋_GB2312" w:hAnsi="仿宋_GB2312" w:eastAsia="仿宋_GB2312" w:cs="仿宋_GB2312"/>
                <w:sz w:val="21"/>
                <w:szCs w:val="21"/>
              </w:rPr>
              <w:t xml:space="preserve"> 用途</w:t>
            </w:r>
          </w:p>
          <w:p>
            <w:pPr>
              <w:spacing w:line="240" w:lineRule="exact"/>
              <w:ind w:firstLine="0" w:firstLineChars="0"/>
              <w:jc w:val="center"/>
              <w:rPr>
                <w:rFonts w:hint="eastAsia" w:ascii="仿宋_GB2312" w:hAnsi="仿宋_GB2312" w:eastAsia="仿宋_GB2312" w:cs="仿宋_GB2312"/>
                <w:sz w:val="21"/>
                <w:szCs w:val="21"/>
              </w:rPr>
            </w:pPr>
          </w:p>
          <w:p>
            <w:pPr>
              <w:spacing w:line="24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级别</w:t>
            </w:r>
          </w:p>
        </w:tc>
        <w:tc>
          <w:tcPr>
            <w:tcW w:w="1237" w:type="pct"/>
            <w:tcBorders>
              <w:top w:val="double" w:color="auto" w:sz="4" w:space="0"/>
              <w:left w:val="sing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w:t>
            </w:r>
          </w:p>
        </w:tc>
        <w:tc>
          <w:tcPr>
            <w:tcW w:w="1237" w:type="pct"/>
            <w:tcBorders>
              <w:top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w:t>
            </w:r>
          </w:p>
        </w:tc>
        <w:tc>
          <w:tcPr>
            <w:tcW w:w="1237" w:type="pct"/>
            <w:tcBorders>
              <w:top w:val="double" w:color="auto" w:sz="4"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vMerge w:val="continue"/>
            <w:tcBorders>
              <w:top w:val="single" w:color="auto" w:sz="6" w:space="0"/>
              <w:left w:val="double" w:color="auto" w:sz="4" w:space="0"/>
              <w:bottom w:val="single" w:color="auto" w:sz="6" w:space="0"/>
              <w:right w:val="sing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p>
        </w:tc>
        <w:tc>
          <w:tcPr>
            <w:tcW w:w="1237" w:type="pct"/>
            <w:tcBorders>
              <w:top w:val="single" w:color="auto" w:sz="6" w:space="0"/>
              <w:left w:val="sing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w:t>
            </w:r>
            <w:r>
              <w:rPr>
                <w:rFonts w:hint="eastAsia" w:ascii="仿宋_GB2312" w:hAnsi="仿宋_GB2312" w:eastAsia="仿宋_GB2312" w:cs="仿宋_GB2312"/>
                <w:sz w:val="21"/>
                <w:szCs w:val="21"/>
                <w:vertAlign w:val="superscript"/>
              </w:rPr>
              <w:t>2</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w:t>
            </w:r>
            <w:r>
              <w:rPr>
                <w:rFonts w:hint="eastAsia" w:ascii="仿宋_GB2312" w:hAnsi="仿宋_GB2312" w:eastAsia="仿宋_GB2312" w:cs="仿宋_GB2312"/>
                <w:sz w:val="21"/>
                <w:szCs w:val="21"/>
                <w:vertAlign w:val="superscript"/>
              </w:rPr>
              <w:t>2</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w:t>
            </w:r>
            <w:r>
              <w:rPr>
                <w:rFonts w:hint="eastAsia" w:ascii="仿宋_GB2312" w:hAnsi="仿宋_GB2312" w:eastAsia="仿宋_GB2312" w:cs="仿宋_GB2312"/>
                <w:sz w:val="21"/>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183</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142</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153</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6" w:space="0"/>
              <w:left w:val="double" w:color="auto" w:sz="4"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1237" w:type="pct"/>
            <w:tcBorders>
              <w:top w:val="single" w:color="auto" w:sz="6"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1237" w:type="pct"/>
            <w:tcBorders>
              <w:top w:val="single" w:color="auto" w:sz="6"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237" w:type="pct"/>
            <w:tcBorders>
              <w:top w:val="single" w:color="auto" w:sz="6" w:space="0"/>
              <w:bottom w:val="double" w:color="auto" w:sz="4"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4"/>
        <w:bidi w:val="0"/>
        <w:rPr>
          <w:rFonts w:hint="eastAsia" w:ascii="仿宋_GB2312" w:hAnsi="仿宋_GB2312" w:eastAsia="仿宋_GB2312" w:cs="仿宋_GB2312"/>
        </w:rPr>
      </w:pPr>
      <w:bookmarkStart w:id="19" w:name="_Toc24278"/>
      <w:bookmarkStart w:id="20" w:name="_Toc22320"/>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基准地价修正体系</w:t>
      </w:r>
      <w:bookmarkEnd w:id="16"/>
      <w:bookmarkEnd w:id="17"/>
      <w:bookmarkEnd w:id="18"/>
      <w:bookmarkEnd w:id="19"/>
      <w:bookmarkEnd w:id="20"/>
    </w:p>
    <w:p>
      <w:pPr>
        <w:pStyle w:val="5"/>
        <w:bidi w:val="0"/>
        <w:rPr>
          <w:rFonts w:hint="eastAsia" w:ascii="仿宋_GB2312" w:hAnsi="仿宋_GB2312" w:eastAsia="仿宋_GB2312" w:cs="仿宋_GB2312"/>
        </w:rPr>
      </w:pPr>
      <w:bookmarkStart w:id="21" w:name="_Toc20582"/>
      <w:r>
        <w:rPr>
          <w:rFonts w:hint="eastAsia" w:ascii="仿宋_GB2312" w:hAnsi="仿宋_GB2312" w:eastAsia="仿宋_GB2312" w:cs="仿宋_GB2312"/>
          <w:lang w:eastAsia="zh-CN"/>
        </w:rPr>
        <w:t>一</w:t>
      </w:r>
      <w:r>
        <w:rPr>
          <w:rFonts w:hint="eastAsia" w:ascii="仿宋_GB2312" w:hAnsi="仿宋_GB2312" w:eastAsia="仿宋_GB2312" w:cs="仿宋_GB2312"/>
        </w:rPr>
        <w:t>、商服用地基准地价个别因素修正体系</w:t>
      </w:r>
      <w:bookmarkEnd w:id="21"/>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期日修正系数公式为：</w:t>
      </w:r>
    </w:p>
    <w:p>
      <w:pPr>
        <w:spacing w:line="324" w:lineRule="auto"/>
        <w:ind w:firstLine="560"/>
        <w:jc w:val="center"/>
        <w:rPr>
          <w:rFonts w:hint="eastAsia" w:ascii="仿宋_GB2312" w:hAnsi="仿宋_GB2312" w:eastAsia="仿宋_GB2312" w:cs="仿宋_GB2312"/>
          <w:color w:val="000000"/>
          <w:spacing w:val="0"/>
          <w:sz w:val="28"/>
          <w:szCs w:val="28"/>
          <w:vertAlign w:val="subscript"/>
        </w:rPr>
      </w:pPr>
      <w:r>
        <w:rPr>
          <w:rFonts w:hint="eastAsia" w:ascii="仿宋_GB2312" w:hAnsi="仿宋_GB2312" w:eastAsia="仿宋_GB2312" w:cs="仿宋_GB2312"/>
          <w:color w:val="000000"/>
          <w:spacing w:val="0"/>
          <w:position w:val="-32"/>
          <w:sz w:val="28"/>
          <w:szCs w:val="28"/>
        </w:rPr>
        <w:object>
          <v:shape id="_x0000_i1025" o:spt="75" type="#_x0000_t75" style="height:36pt;width:50.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spacing w:line="324" w:lineRule="auto"/>
        <w:ind w:firstLine="56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式中：K</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—商服用地第j年数据修正到估价期日的系数；</w:t>
      </w:r>
    </w:p>
    <w:p>
      <w:pPr>
        <w:spacing w:line="324" w:lineRule="auto"/>
        <w:ind w:firstLine="1400" w:firstLineChars="50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is</w:t>
      </w:r>
      <w:r>
        <w:rPr>
          <w:rFonts w:hint="eastAsia" w:ascii="仿宋_GB2312" w:hAnsi="仿宋_GB2312" w:eastAsia="仿宋_GB2312" w:cs="仿宋_GB2312"/>
          <w:spacing w:val="0"/>
          <w:kern w:val="0"/>
          <w:sz w:val="28"/>
          <w:szCs w:val="28"/>
        </w:rPr>
        <w:t>—商服用地估价期日土地交易平均价；</w:t>
      </w:r>
      <w:bookmarkStart w:id="60" w:name="_GoBack"/>
      <w:bookmarkEnd w:id="60"/>
    </w:p>
    <w:p>
      <w:pPr>
        <w:spacing w:line="324" w:lineRule="auto"/>
        <w:ind w:firstLine="1400" w:firstLineChars="50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—商服用地第j年土地交易平均价。</w:t>
      </w:r>
    </w:p>
    <w:p>
      <w:pPr>
        <w:spacing w:line="324" w:lineRule="auto"/>
        <w:ind w:firstLine="560"/>
        <w:rPr>
          <w:rFonts w:hint="eastAsia" w:ascii="仿宋_GB2312" w:hAnsi="仿宋_GB2312" w:eastAsia="仿宋_GB2312" w:cs="仿宋_GB2312"/>
          <w:b/>
          <w:color w:val="000000"/>
          <w:spacing w:val="0"/>
          <w:sz w:val="28"/>
          <w:szCs w:val="28"/>
        </w:rPr>
      </w:pPr>
      <w:r>
        <w:rPr>
          <w:rFonts w:hint="eastAsia" w:ascii="仿宋_GB2312" w:hAnsi="仿宋_GB2312" w:eastAsia="仿宋_GB2312" w:cs="仿宋_GB2312"/>
          <w:spacing w:val="0"/>
          <w:kern w:val="0"/>
          <w:sz w:val="28"/>
          <w:szCs w:val="28"/>
        </w:rPr>
        <w:t>期日修正系数计算结果见表2-3。</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表2-3商服用地交易期日修正系数表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902"/>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交易期日</w:t>
            </w:r>
          </w:p>
        </w:tc>
        <w:tc>
          <w:tcPr>
            <w:tcW w:w="529"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2014</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2015</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2016</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2017</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2018</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2019</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2020</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修正系数</w:t>
            </w:r>
          </w:p>
        </w:tc>
        <w:tc>
          <w:tcPr>
            <w:tcW w:w="52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adjustRightInd w:val="0"/>
        <w:snapToGrid w:val="0"/>
        <w:ind w:firstLine="560"/>
        <w:jc w:val="left"/>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CN"/>
        </w:rPr>
        <w:t>2、</w:t>
      </w:r>
      <w:r>
        <w:rPr>
          <w:rFonts w:hint="eastAsia" w:ascii="仿宋_GB2312" w:hAnsi="仿宋_GB2312" w:eastAsia="仿宋_GB2312" w:cs="仿宋_GB2312"/>
          <w:spacing w:val="0"/>
          <w:sz w:val="28"/>
          <w:szCs w:val="28"/>
        </w:rPr>
        <w:t>土地使用年期修正系数</w:t>
      </w:r>
    </w:p>
    <w:p>
      <w:pPr>
        <w:spacing w:line="500" w:lineRule="exact"/>
        <w:ind w:firstLine="584"/>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有限年期使用权价格应该修正到法定最高年期地价，商服用地法定最高出让年期为40年。商服用地土地还原利率为6.55%。</w:t>
      </w:r>
    </w:p>
    <w:p>
      <w:pPr>
        <w:autoSpaceDE w:val="0"/>
        <w:autoSpaceDN w:val="0"/>
        <w:spacing w:line="500" w:lineRule="exact"/>
        <w:ind w:left="438" w:leftChars="150" w:firstLine="236" w:firstLineChars="81"/>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使用年期修正系数的计算公式为：</w:t>
      </w:r>
    </w:p>
    <w:p>
      <w:pPr>
        <w:wordWrap/>
        <w:ind w:left="0" w:leftChars="0"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object>
          <v:shape id="_x0000_i1026" o:spt="75" type="#_x0000_t75" style="height:72pt;width:87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p>
    <w:p>
      <w:pPr>
        <w:adjustRightInd w:val="0"/>
        <w:snapToGrid w:val="0"/>
        <w:spacing w:line="360" w:lineRule="auto"/>
        <w:ind w:firstLine="198" w:firstLineChars="71"/>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r>
        <w:rPr>
          <w:rFonts w:hint="eastAsia" w:ascii="仿宋_GB2312" w:hAnsi="仿宋_GB2312" w:eastAsia="仿宋_GB2312" w:cs="仿宋_GB2312"/>
          <w:color w:val="000000"/>
          <w:spacing w:val="0"/>
          <w:sz w:val="28"/>
          <w:szCs w:val="28"/>
        </w:rPr>
        <w:t>R</w:t>
      </w:r>
      <w:r>
        <w:rPr>
          <w:rFonts w:hint="eastAsia" w:ascii="仿宋_GB2312" w:hAnsi="仿宋_GB2312" w:eastAsia="仿宋_GB2312" w:cs="仿宋_GB2312"/>
          <w:spacing w:val="0"/>
          <w:sz w:val="28"/>
          <w:szCs w:val="28"/>
        </w:rPr>
        <w:t xml:space="preserve"> ——土地还原率；</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spacing w:val="0"/>
          <w:sz w:val="28"/>
          <w:szCs w:val="28"/>
        </w:rPr>
        <w:t>M</w:t>
      </w:r>
      <w:r>
        <w:rPr>
          <w:rFonts w:hint="eastAsia" w:ascii="仿宋_GB2312" w:hAnsi="仿宋_GB2312" w:eastAsia="仿宋_GB2312" w:cs="仿宋_GB2312"/>
          <w:spacing w:val="0"/>
          <w:sz w:val="28"/>
          <w:szCs w:val="28"/>
        </w:rPr>
        <w:t xml:space="preserve"> ——土地使用权法定最高出让年限；</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spacing w:val="0"/>
          <w:sz w:val="28"/>
          <w:szCs w:val="28"/>
        </w:rPr>
        <w:t>N</w:t>
      </w:r>
      <w:r>
        <w:rPr>
          <w:rFonts w:hint="eastAsia" w:ascii="仿宋_GB2312" w:hAnsi="仿宋_GB2312" w:eastAsia="仿宋_GB2312" w:cs="仿宋_GB2312"/>
          <w:spacing w:val="0"/>
          <w:sz w:val="28"/>
          <w:szCs w:val="28"/>
        </w:rPr>
        <w:t xml:space="preserve"> ——剩余使用年期；</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spacing w:val="0"/>
          <w:sz w:val="28"/>
          <w:szCs w:val="28"/>
        </w:rPr>
        <w:t>Y</w:t>
      </w:r>
      <w:r>
        <w:rPr>
          <w:rFonts w:hint="eastAsia" w:ascii="仿宋_GB2312" w:hAnsi="仿宋_GB2312" w:eastAsia="仿宋_GB2312" w:cs="仿宋_GB2312"/>
          <w:spacing w:val="0"/>
          <w:sz w:val="28"/>
          <w:szCs w:val="28"/>
        </w:rPr>
        <w:t xml:space="preserve"> ——使用年期修正系数。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商服用地使用年期修正系数结果见表2-4。</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表2-4  商服用地使用年期修正系数表</w:t>
      </w: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043"/>
        <w:gridCol w:w="1043"/>
        <w:gridCol w:w="1043"/>
        <w:gridCol w:w="1043"/>
        <w:gridCol w:w="1043"/>
        <w:gridCol w:w="10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剩余使用年期（年）</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612" w:type="pct"/>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0.0667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0.1294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0.1882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0.2434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0.2952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0.3438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0.4322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0.4724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0.5101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0.5455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0.5787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0.6391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0.6666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0.6924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0.7166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0.7393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0.7806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0.7993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0.8169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0.8335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0.849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0.8635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27</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0.8772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0.9021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0.9134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0.924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33</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35</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36</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0.9432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0.952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0.9602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0.9752</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38</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39</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40</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0.9884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0.9944</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612" w:type="pct"/>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宗地临街状况修正系数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商服用地宗地临街状况修正体系见表2-5。</w:t>
      </w:r>
    </w:p>
    <w:p>
      <w:pPr>
        <w:pStyle w:val="19"/>
        <w:spacing w:before="156"/>
        <w:rPr>
          <w:rFonts w:hint="eastAsia" w:ascii="仿宋_GB2312" w:hAnsi="仿宋_GB2312" w:eastAsia="仿宋_GB2312" w:cs="仿宋_GB2312"/>
          <w:sz w:val="21"/>
          <w:szCs w:val="21"/>
        </w:rPr>
      </w:pPr>
      <w:bookmarkStart w:id="22" w:name="_Toc401303259"/>
      <w:r>
        <w:rPr>
          <w:rFonts w:hint="eastAsia" w:ascii="仿宋_GB2312" w:hAnsi="仿宋_GB2312" w:eastAsia="仿宋_GB2312" w:cs="仿宋_GB2312"/>
          <w:sz w:val="21"/>
          <w:szCs w:val="21"/>
        </w:rPr>
        <w:t>表2-5商服用地宗地临街状况修正</w:t>
      </w:r>
      <w:bookmarkEnd w:id="22"/>
      <w:r>
        <w:rPr>
          <w:rFonts w:hint="eastAsia" w:ascii="仿宋_GB2312" w:hAnsi="仿宋_GB2312" w:eastAsia="仿宋_GB2312" w:cs="仿宋_GB2312"/>
          <w:sz w:val="21"/>
          <w:szCs w:val="21"/>
        </w:rPr>
        <w:t>体系</w:t>
      </w:r>
    </w:p>
    <w:tbl>
      <w:tblPr>
        <w:tblStyle w:val="14"/>
        <w:tblW w:w="4996"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0"/>
        <w:gridCol w:w="1410"/>
        <w:gridCol w:w="1410"/>
        <w:gridCol w:w="1412"/>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指标标准</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优</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较优</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一般</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较劣</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准说明</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街角地</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两面临街</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一面临街，距侧街30米内</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一面临街，距侧街30米外</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不临街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0"/>
                <w:kern w:val="0"/>
                <w:sz w:val="21"/>
                <w:szCs w:val="21"/>
              </w:rPr>
              <w:t>修正系数</w:t>
            </w:r>
          </w:p>
        </w:tc>
        <w:tc>
          <w:tcPr>
            <w:tcW w:w="846"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060</w:t>
            </w:r>
          </w:p>
        </w:tc>
        <w:tc>
          <w:tcPr>
            <w:tcW w:w="846"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030</w:t>
            </w:r>
          </w:p>
        </w:tc>
        <w:tc>
          <w:tcPr>
            <w:tcW w:w="846"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000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970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940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宗地面积状况修正系数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商服用地宗地面积状况修正体系见表2-6。</w:t>
      </w:r>
      <w:bookmarkStart w:id="23" w:name="_Toc401303260"/>
    </w:p>
    <w:p>
      <w:pPr>
        <w:pStyle w:val="19"/>
        <w:spacing w:before="156"/>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表2-6  商服用地宗地面积状况修正</w:t>
      </w:r>
      <w:bookmarkEnd w:id="23"/>
      <w:r>
        <w:rPr>
          <w:rFonts w:hint="eastAsia" w:ascii="仿宋_GB2312" w:hAnsi="仿宋_GB2312" w:eastAsia="仿宋_GB2312" w:cs="仿宋_GB2312"/>
          <w:sz w:val="21"/>
          <w:szCs w:val="21"/>
        </w:rPr>
        <w:t>体系</w:t>
      </w:r>
    </w:p>
    <w:tbl>
      <w:tblPr>
        <w:tblStyle w:val="14"/>
        <w:tblW w:w="4996"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0"/>
        <w:gridCol w:w="1410"/>
        <w:gridCol w:w="1410"/>
        <w:gridCol w:w="1412"/>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指标标准</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优</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较优</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一般</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较劣</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准说明</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面积适中，对土地利用极为有利</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面积对土地利用较为有利</w:t>
            </w:r>
          </w:p>
        </w:tc>
        <w:tc>
          <w:tcPr>
            <w:tcW w:w="846"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面积对土地利用无不良影响</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面积较小，对土地利用有一定影响</w:t>
            </w:r>
          </w:p>
        </w:tc>
        <w:tc>
          <w:tcPr>
            <w:tcW w:w="847"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0"/>
                <w:kern w:val="0"/>
                <w:sz w:val="21"/>
                <w:szCs w:val="21"/>
              </w:rPr>
              <w:t>修正系数</w:t>
            </w:r>
          </w:p>
        </w:tc>
        <w:tc>
          <w:tcPr>
            <w:tcW w:w="84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c>
          <w:tcPr>
            <w:tcW w:w="84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1.015</w:t>
            </w:r>
          </w:p>
        </w:tc>
        <w:tc>
          <w:tcPr>
            <w:tcW w:w="84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0.970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宗地形状状况修正系数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商服用地宗地形状状况修正体系见表2-7。</w:t>
      </w:r>
      <w:bookmarkStart w:id="24" w:name="_Toc401303261"/>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表2-7 商服用地宗地形状状况修正</w:t>
      </w:r>
      <w:bookmarkEnd w:id="24"/>
      <w:r>
        <w:rPr>
          <w:rFonts w:hint="eastAsia" w:ascii="仿宋_GB2312" w:hAnsi="仿宋_GB2312" w:eastAsia="仿宋_GB2312" w:cs="仿宋_GB2312"/>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1434"/>
        <w:gridCol w:w="1435"/>
        <w:gridCol w:w="1434"/>
        <w:gridCol w:w="1435"/>
        <w:gridCol w:w="1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指标标准</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优</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较优</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一般</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较劣</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8"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指标标</w:t>
            </w:r>
          </w:p>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准说明</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形状规则，对土地利用合理</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土地利用较为合理</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土地利用无不良影响</w:t>
            </w:r>
          </w:p>
        </w:tc>
        <w:tc>
          <w:tcPr>
            <w:tcW w:w="861"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形状不规则，对土地利用不合理</w:t>
            </w:r>
          </w:p>
        </w:tc>
        <w:tc>
          <w:tcPr>
            <w:tcW w:w="860" w:type="pct"/>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0"/>
                <w:kern w:val="0"/>
                <w:sz w:val="21"/>
                <w:szCs w:val="21"/>
              </w:rPr>
              <w:t>修正系数</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容积率修正</w:t>
      </w:r>
    </w:p>
    <w:p>
      <w:pPr>
        <w:bidi w:val="0"/>
        <w:rPr>
          <w:rFonts w:hint="eastAsia" w:ascii="仿宋_GB2312" w:hAnsi="仿宋_GB2312" w:eastAsia="仿宋_GB2312" w:cs="仿宋_GB2312"/>
        </w:rPr>
      </w:pPr>
      <w:r>
        <w:rPr>
          <w:rFonts w:hint="eastAsia" w:ascii="仿宋_GB2312" w:hAnsi="仿宋_GB2312" w:eastAsia="仿宋_GB2312" w:cs="仿宋_GB2312"/>
        </w:rPr>
        <w:t>基准地价是代表设定容积率水平下的地价，在进行宗地地价计算时需将基准地价修正到宗地实际容积率水平下的地价。调查不同容积率水平下的地价平均值，得出商服用地容积率修正系数。容积率修正系数的计算见公式：</w:t>
      </w:r>
    </w:p>
    <w:p>
      <w:pPr>
        <w:tabs>
          <w:tab w:val="left" w:pos="7350"/>
        </w:tabs>
        <w:ind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drawing>
          <wp:inline distT="0" distB="0" distL="0" distR="0">
            <wp:extent cx="590550" cy="438150"/>
            <wp:effectExtent l="0" t="0" r="0" b="3175"/>
            <wp:docPr id="3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68"/>
                    <pic:cNvPicPr>
                      <a:picLocks noChangeAspect="1" noChangeArrowheads="1"/>
                    </pic:cNvPicPr>
                  </pic:nvPicPr>
                  <pic:blipFill>
                    <a:blip r:embed="rId18" cstate="print"/>
                    <a:srcRect/>
                    <a:stretch>
                      <a:fillRect/>
                    </a:stretch>
                  </pic:blipFill>
                  <pic:spPr>
                    <a:xfrm>
                      <a:off x="0" y="0"/>
                      <a:ext cx="590550" cy="438150"/>
                    </a:xfrm>
                    <a:prstGeom prst="rect">
                      <a:avLst/>
                    </a:prstGeom>
                    <a:noFill/>
                    <a:ln w="9525">
                      <a:noFill/>
                      <a:miter lim="800000"/>
                      <a:headEnd/>
                      <a:tailEnd/>
                    </a:ln>
                  </pic:spPr>
                </pic:pic>
              </a:graphicData>
            </a:graphic>
          </wp:inline>
        </w:drawing>
      </w:r>
    </w:p>
    <w:p>
      <w:pPr>
        <w:adjustRightInd w:val="0"/>
        <w:snapToGrid w:val="0"/>
        <w:ind w:firstLine="56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r>
        <w:rPr>
          <w:rFonts w:hint="eastAsia" w:ascii="仿宋_GB2312" w:hAnsi="仿宋_GB2312" w:eastAsia="仿宋_GB2312" w:cs="仿宋_GB2312"/>
          <w:i/>
          <w:color w:val="000000"/>
          <w:spacing w:val="0"/>
          <w:sz w:val="28"/>
          <w:szCs w:val="28"/>
        </w:rPr>
        <w:t>K</w:t>
      </w:r>
      <w:r>
        <w:rPr>
          <w:rFonts w:hint="eastAsia" w:ascii="仿宋_GB2312" w:hAnsi="仿宋_GB2312" w:eastAsia="仿宋_GB2312" w:cs="仿宋_GB2312"/>
          <w:i/>
          <w:color w:val="000000"/>
          <w:spacing w:val="0"/>
          <w:sz w:val="28"/>
          <w:szCs w:val="28"/>
          <w:vertAlign w:val="subscript"/>
        </w:rPr>
        <w:t>r</w:t>
      </w:r>
      <w:r>
        <w:rPr>
          <w:rFonts w:hint="eastAsia" w:ascii="仿宋_GB2312" w:hAnsi="仿宋_GB2312" w:eastAsia="仿宋_GB2312" w:cs="仿宋_GB2312"/>
          <w:spacing w:val="0"/>
          <w:sz w:val="28"/>
          <w:szCs w:val="28"/>
        </w:rPr>
        <w:t>--容积率修正系数；</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P</w:t>
      </w:r>
      <w:r>
        <w:rPr>
          <w:rFonts w:hint="eastAsia" w:ascii="仿宋_GB2312" w:hAnsi="仿宋_GB2312" w:eastAsia="仿宋_GB2312" w:cs="仿宋_GB2312"/>
          <w:i/>
          <w:color w:val="000000"/>
          <w:spacing w:val="0"/>
          <w:sz w:val="28"/>
          <w:szCs w:val="28"/>
          <w:vertAlign w:val="subscript"/>
        </w:rPr>
        <w:t>is</w:t>
      </w:r>
      <w:r>
        <w:rPr>
          <w:rFonts w:hint="eastAsia" w:ascii="仿宋_GB2312" w:hAnsi="仿宋_GB2312" w:eastAsia="仿宋_GB2312" w:cs="仿宋_GB2312"/>
          <w:spacing w:val="0"/>
          <w:sz w:val="28"/>
          <w:szCs w:val="28"/>
        </w:rPr>
        <w:t>—各类用地在规定容积率时单位面积的平均地价；</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P</w:t>
      </w:r>
      <w:r>
        <w:rPr>
          <w:rFonts w:hint="eastAsia" w:ascii="仿宋_GB2312" w:hAnsi="仿宋_GB2312" w:eastAsia="仿宋_GB2312" w:cs="仿宋_GB2312"/>
          <w:i/>
          <w:color w:val="000000"/>
          <w:spacing w:val="0"/>
          <w:sz w:val="28"/>
          <w:szCs w:val="28"/>
          <w:vertAlign w:val="subscript"/>
        </w:rPr>
        <w:t>i</w:t>
      </w:r>
      <w:r>
        <w:rPr>
          <w:rFonts w:hint="eastAsia" w:ascii="仿宋_GB2312" w:hAnsi="仿宋_GB2312" w:eastAsia="仿宋_GB2312" w:cs="仿宋_GB2312"/>
          <w:spacing w:val="0"/>
          <w:sz w:val="28"/>
          <w:szCs w:val="28"/>
        </w:rPr>
        <w:t>—各类用地某一容积率下单位面积平均地价。</w:t>
      </w:r>
    </w:p>
    <w:p>
      <w:pPr>
        <w:adjustRightInd w:val="0"/>
        <w:snapToGrid w:val="0"/>
        <w:ind w:firstLine="56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商服用地容积率修正系数见表</w:t>
      </w:r>
      <w:r>
        <w:rPr>
          <w:rFonts w:hint="eastAsia" w:ascii="仿宋_GB2312" w:hAnsi="仿宋_GB2312" w:eastAsia="仿宋_GB2312" w:cs="仿宋_GB2312"/>
          <w:spacing w:val="0"/>
          <w:kern w:val="0"/>
          <w:sz w:val="28"/>
          <w:szCs w:val="28"/>
        </w:rPr>
        <w:t>2-8。</w:t>
      </w:r>
    </w:p>
    <w:p>
      <w:pPr>
        <w:pStyle w:val="19"/>
        <w:spacing w:before="156"/>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表2-8  商服用地容积率修正系数表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397"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0.5067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0.5712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0.6350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0.6979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0.7600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0.8212 </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0.8816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0.9412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1.0000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1.0579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1.1151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1.1713 </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1.2268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1.2814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1.3352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1.3882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1.4404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1.4917 </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1.5422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1.5919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1.6407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1.6887 </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1.7359 </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1.7823 </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1.8278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1.8725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1.9164 </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1.9594 </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2.0016 </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2.0430 </w:t>
            </w:r>
          </w:p>
        </w:tc>
      </w:tr>
    </w:tbl>
    <w:p>
      <w:pPr>
        <w:ind w:firstLine="560"/>
        <w:jc w:val="left"/>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val="en-US" w:eastAsia="zh-CN"/>
        </w:rPr>
        <w:t>7、</w:t>
      </w:r>
      <w:r>
        <w:rPr>
          <w:rFonts w:hint="eastAsia" w:ascii="仿宋_GB2312" w:hAnsi="仿宋_GB2312" w:eastAsia="仿宋_GB2312" w:cs="仿宋_GB2312"/>
          <w:spacing w:val="0"/>
          <w:sz w:val="28"/>
          <w:szCs w:val="28"/>
        </w:rPr>
        <w:t>宗地基础设施配套程度修正</w:t>
      </w:r>
    </w:p>
    <w:p>
      <w:pPr>
        <w:adjustRightInd w:val="0"/>
        <w:snapToGrid w:val="0"/>
        <w:ind w:firstLine="560"/>
        <w:jc w:val="left"/>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乌兰图克镇的商服用地基准地价设施设定开发程度均达到“五通一平”条件。若宗地基础设施配套程度修正没有达到该程度，利用基准地价来评估宗地地价时就应该减去相应的开发费用，反之则加上相应的开发费用。</w:t>
      </w:r>
    </w:p>
    <w:p>
      <w:pPr>
        <w:adjustRightInd w:val="0"/>
        <w:snapToGrid w:val="0"/>
        <w:ind w:firstLine="56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商服用地宗地基础设施配套程度开发费用见表</w:t>
      </w:r>
      <w:r>
        <w:rPr>
          <w:rFonts w:hint="eastAsia" w:ascii="仿宋_GB2312" w:hAnsi="仿宋_GB2312" w:eastAsia="仿宋_GB2312" w:cs="仿宋_GB2312"/>
          <w:spacing w:val="0"/>
          <w:kern w:val="0"/>
          <w:sz w:val="28"/>
          <w:szCs w:val="28"/>
        </w:rPr>
        <w:t>2-9。</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表2-9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1"/>
        <w:gridCol w:w="951"/>
        <w:gridCol w:w="900"/>
        <w:gridCol w:w="709"/>
        <w:gridCol w:w="791"/>
        <w:gridCol w:w="763"/>
        <w:gridCol w:w="911"/>
        <w:gridCol w:w="12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基础设施状况</w:t>
            </w:r>
          </w:p>
        </w:tc>
        <w:tc>
          <w:tcPr>
            <w:tcW w:w="42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55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52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41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46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4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53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71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42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5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2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1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6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4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53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71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25" w:name="_Toc8918"/>
      <w:r>
        <w:rPr>
          <w:rFonts w:hint="eastAsia" w:ascii="仿宋_GB2312" w:hAnsi="仿宋_GB2312" w:eastAsia="仿宋_GB2312" w:cs="仿宋_GB2312"/>
          <w:lang w:eastAsia="zh-CN"/>
        </w:rPr>
        <w:t>二、</w:t>
      </w:r>
      <w:r>
        <w:rPr>
          <w:rFonts w:hint="eastAsia" w:ascii="仿宋_GB2312" w:hAnsi="仿宋_GB2312" w:eastAsia="仿宋_GB2312" w:cs="仿宋_GB2312"/>
        </w:rPr>
        <w:t>住宅用地基准地价个别因素修正体系</w:t>
      </w:r>
      <w:bookmarkEnd w:id="25"/>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住宅用地交易期日修正系数见表2-10。</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表2-10  住宅用地交易期日修正系数表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03"/>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交易期日</w:t>
            </w:r>
          </w:p>
        </w:tc>
        <w:tc>
          <w:tcPr>
            <w:tcW w:w="530"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2014</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2015</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2016</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2017</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2018</w:t>
            </w:r>
          </w:p>
        </w:tc>
        <w:tc>
          <w:tcPr>
            <w:tcW w:w="527"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2019</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2020</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修正系数</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rPr>
        <w:t>住宅用地地价的评估时日修正方法同商服用地修正方法。</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土地使用年期修正</w:t>
      </w:r>
    </w:p>
    <w:p>
      <w:pPr>
        <w:bidi w:val="0"/>
        <w:rPr>
          <w:rFonts w:hint="eastAsia" w:ascii="仿宋_GB2312" w:hAnsi="仿宋_GB2312" w:eastAsia="仿宋_GB2312" w:cs="仿宋_GB2312"/>
        </w:rPr>
      </w:pPr>
      <w:r>
        <w:rPr>
          <w:rFonts w:hint="eastAsia" w:ascii="仿宋_GB2312" w:hAnsi="仿宋_GB2312" w:eastAsia="仿宋_GB2312" w:cs="仿宋_GB2312"/>
        </w:rPr>
        <w:t>有限年期使用权价格应该修正到法定最高出让年期地价。住宅用地法定最高出让年期为70年，土地还原利率为5.82%。使用年期修正系数的计算公式见商服用地使用年期修正。住宅用地使用年期修正系数见表2-11。</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表2-11  住宅用地使用年期修正系数表</w:t>
      </w:r>
    </w:p>
    <w:tbl>
      <w:tblPr>
        <w:tblStyle w:val="14"/>
        <w:tblW w:w="8282"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2"/>
        <w:gridCol w:w="1080"/>
        <w:gridCol w:w="1080"/>
        <w:gridCol w:w="1080"/>
        <w:gridCol w:w="1080"/>
        <w:gridCol w:w="1080"/>
        <w:gridCol w:w="108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0.0561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0.1091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0.1591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0.2064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0.2512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0.2934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0.3333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0.3711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0.4067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0.4404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0.4723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0.5024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0.5308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0.5577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0.5831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0.6071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0.6298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0.6512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0.6714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0.7087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0.7258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0.7419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0.7572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0.7716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0.7852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0.7981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0.8103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0.8218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0.8327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0.8429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0.8526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0.8618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0.8705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0.8864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0.8937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0.9072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0.9247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0.9299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0.9395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0.9686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0.9714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0.9936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宗地面积状况修正系数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住宅用地宗地面积状况修正体系见表2-12。</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表2-12  住宅用地宗地面积状况修正体系</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5"/>
        <w:gridCol w:w="1392"/>
        <w:gridCol w:w="1392"/>
        <w:gridCol w:w="1392"/>
        <w:gridCol w:w="1392"/>
        <w:gridCol w:w="13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32"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32"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030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015</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000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985</w:t>
            </w:r>
          </w:p>
        </w:tc>
        <w:tc>
          <w:tcPr>
            <w:tcW w:w="832"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970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宗地形状状况修正系数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住宅用地地价宗地形状状况修正体系见表2-13。</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表2-13住宅用地宗地形状状况修正体系</w:t>
      </w:r>
    </w:p>
    <w:tbl>
      <w:tblPr>
        <w:tblStyle w:val="14"/>
        <w:tblW w:w="5076" w:type="pct"/>
        <w:tblInd w:w="-1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1418"/>
        <w:gridCol w:w="1417"/>
        <w:gridCol w:w="1418"/>
        <w:gridCol w:w="1275"/>
        <w:gridCol w:w="15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75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9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38"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w:t>
            </w:r>
          </w:p>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w:t>
            </w:r>
          </w:p>
        </w:tc>
        <w:tc>
          <w:tcPr>
            <w:tcW w:w="837"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38"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753"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96"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37"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753"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96"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容积率修正</w:t>
      </w:r>
    </w:p>
    <w:p>
      <w:pPr>
        <w:bidi w:val="0"/>
        <w:rPr>
          <w:rFonts w:hint="eastAsia" w:ascii="仿宋_GB2312" w:hAnsi="仿宋_GB2312" w:eastAsia="仿宋_GB2312" w:cs="仿宋_GB2312"/>
        </w:rPr>
      </w:pPr>
      <w:r>
        <w:rPr>
          <w:rFonts w:hint="eastAsia" w:ascii="仿宋_GB2312" w:hAnsi="仿宋_GB2312" w:eastAsia="仿宋_GB2312" w:cs="仿宋_GB2312"/>
        </w:rPr>
        <w:t>根据基准地价内涵，住宅用地平均容积率</w:t>
      </w:r>
      <w:r>
        <w:rPr>
          <w:rFonts w:hint="eastAsia" w:ascii="仿宋_GB2312" w:hAnsi="仿宋_GB2312" w:cs="仿宋_GB2312"/>
          <w:lang w:val="en-US" w:eastAsia="zh-CN"/>
        </w:rPr>
        <w:t>1.0</w:t>
      </w:r>
      <w:r>
        <w:rPr>
          <w:rFonts w:hint="eastAsia" w:ascii="仿宋_GB2312" w:hAnsi="仿宋_GB2312" w:eastAsia="仿宋_GB2312" w:cs="仿宋_GB2312"/>
        </w:rPr>
        <w:t>。容积率修正系数的计算方法同商服用地。结果表2-14。对于不同容积率情况下发生的地价，修正到设定的容积率的价格。修正计算公式见商服用地容积率修正。</w:t>
      </w:r>
    </w:p>
    <w:p>
      <w:pPr>
        <w:pStyle w:val="19"/>
        <w:spacing w:before="156"/>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表2-14 住宅用地容积率修正系数表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397"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0.4359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0.5095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0.5823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0.6542</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0.7251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0.7952</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0.8643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0.9326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1.0665</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1.1321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1.1968</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1.2606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1.3235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1.3855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1.4466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1.5068</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1.5662</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1.6247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1.6822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1.7389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1.7946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1.8495</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1.9035</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3.10</w:t>
            </w:r>
          </w:p>
        </w:tc>
      </w:tr>
      <w:tr>
        <w:tblPrEx>
          <w:tblCellMar>
            <w:top w:w="0" w:type="dxa"/>
            <w:left w:w="108" w:type="dxa"/>
            <w:bottom w:w="0" w:type="dxa"/>
            <w:right w:w="108" w:type="dxa"/>
          </w:tblCellMar>
        </w:tblPrEx>
        <w:trPr>
          <w:trHeight w:val="397"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1.9566</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2.0087</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2.0600</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2.1104</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2.1600</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2.2086</w:t>
            </w:r>
          </w:p>
        </w:tc>
      </w:tr>
    </w:tbl>
    <w:p>
      <w:pPr>
        <w:bidi w:val="0"/>
        <w:rPr>
          <w:rFonts w:hint="eastAsia" w:ascii="仿宋_GB2312" w:hAnsi="仿宋_GB2312" w:eastAsia="仿宋_GB2312" w:cs="仿宋_GB2312"/>
        </w:rPr>
      </w:pPr>
      <w:r>
        <w:rPr>
          <w:rFonts w:hint="eastAsia" w:ascii="仿宋_GB2312" w:hAnsi="仿宋_GB2312" w:eastAsia="仿宋_GB2312" w:cs="仿宋_GB2312"/>
        </w:rPr>
        <w:t>①容积率小于或等于0.2时按容积率等于0.2时的计算；容积率大于或等于3.3时按容积率等于3.3时的计算。②当容积率介于上述所列的容积率之间时，可用直线内插法确定其对应的修正系数。</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基础设施修正</w:t>
      </w:r>
    </w:p>
    <w:p>
      <w:pPr>
        <w:bidi w:val="0"/>
        <w:rPr>
          <w:rFonts w:hint="eastAsia" w:ascii="仿宋_GB2312" w:hAnsi="仿宋_GB2312" w:eastAsia="仿宋_GB2312" w:cs="仿宋_GB2312"/>
        </w:rPr>
      </w:pPr>
      <w:r>
        <w:rPr>
          <w:rFonts w:hint="eastAsia" w:ascii="仿宋_GB2312" w:hAnsi="仿宋_GB2312" w:eastAsia="仿宋_GB2312" w:cs="仿宋_GB2312"/>
        </w:rPr>
        <w:t>乌兰图克镇的住宅用地基准地价设施设定开发程度均达到“五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住宅用地宗地基础设施配套程度开发费用见表2-15。</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表2-15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696"/>
        <w:gridCol w:w="924"/>
        <w:gridCol w:w="883"/>
        <w:gridCol w:w="684"/>
        <w:gridCol w:w="817"/>
        <w:gridCol w:w="777"/>
        <w:gridCol w:w="924"/>
        <w:gridCol w:w="12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基础设施状况</w:t>
            </w:r>
          </w:p>
        </w:tc>
        <w:tc>
          <w:tcPr>
            <w:tcW w:w="40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54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51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40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47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45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54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72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40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4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1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0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7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5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54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72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26" w:name="_Toc32763"/>
      <w:r>
        <w:rPr>
          <w:rFonts w:hint="eastAsia" w:ascii="仿宋_GB2312" w:hAnsi="仿宋_GB2312" w:eastAsia="仿宋_GB2312" w:cs="仿宋_GB2312"/>
          <w:lang w:eastAsia="zh-CN"/>
        </w:rPr>
        <w:t>三</w:t>
      </w:r>
      <w:r>
        <w:rPr>
          <w:rFonts w:hint="eastAsia" w:ascii="仿宋_GB2312" w:hAnsi="仿宋_GB2312" w:eastAsia="仿宋_GB2312" w:cs="仿宋_GB2312"/>
        </w:rPr>
        <w:t>、工业用地基准地价个别因素修正体系</w:t>
      </w:r>
      <w:bookmarkEnd w:id="26"/>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工业用地交易期日修正系数见表2-16。</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表2-16工业用地交易期日修正系数表（环比）</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3" w:type="dxa"/>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交易期日</w:t>
            </w:r>
          </w:p>
        </w:tc>
        <w:tc>
          <w:tcPr>
            <w:tcW w:w="92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2014</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2015</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2016</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2017</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2018</w:t>
            </w:r>
          </w:p>
        </w:tc>
        <w:tc>
          <w:tcPr>
            <w:tcW w:w="919"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2019</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spacing w:val="0"/>
                <w:sz w:val="21"/>
                <w:szCs w:val="21"/>
              </w:rPr>
            </w:pPr>
            <w:r>
              <w:rPr>
                <w:rFonts w:hint="eastAsia" w:ascii="仿宋_GB2312" w:hAnsi="仿宋_GB2312" w:eastAsia="仿宋_GB2312" w:cs="仿宋_GB2312"/>
                <w:kern w:val="0"/>
                <w:sz w:val="21"/>
                <w:szCs w:val="21"/>
              </w:rPr>
              <w:t>2020</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3" w:type="dxa"/>
            <w:tcBorders>
              <w:tl2br w:val="nil"/>
              <w:tr2bl w:val="nil"/>
            </w:tcBorders>
            <w:vAlign w:val="center"/>
          </w:tcPr>
          <w:p>
            <w:pPr>
              <w:widowControl/>
              <w:adjustRightInd w:val="0"/>
              <w:snapToGrid w:val="0"/>
              <w:spacing w:line="240" w:lineRule="auto"/>
              <w:ind w:firstLine="0" w:firstLineChars="0"/>
              <w:jc w:val="center"/>
              <w:rPr>
                <w:rFonts w:hint="eastAsia" w:ascii="仿宋_GB2312" w:hAnsi="仿宋_GB2312" w:eastAsia="仿宋_GB2312" w:cs="仿宋_GB2312"/>
                <w:b/>
                <w:bCs/>
                <w:spacing w:val="0"/>
                <w:kern w:val="0"/>
                <w:sz w:val="21"/>
                <w:szCs w:val="21"/>
              </w:rPr>
            </w:pPr>
            <w:r>
              <w:rPr>
                <w:rFonts w:hint="eastAsia" w:ascii="仿宋_GB2312" w:hAnsi="仿宋_GB2312" w:eastAsia="仿宋_GB2312" w:cs="仿宋_GB2312"/>
                <w:b/>
                <w:bCs/>
                <w:spacing w:val="0"/>
                <w:kern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rPr>
        <w:t>工业用地地价的评估时日修正方法同商服用地修正方法。</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土地使用年期修正</w:t>
      </w:r>
    </w:p>
    <w:p>
      <w:pPr>
        <w:bidi w:val="0"/>
        <w:rPr>
          <w:rFonts w:hint="eastAsia" w:ascii="仿宋_GB2312" w:hAnsi="仿宋_GB2312" w:eastAsia="仿宋_GB2312" w:cs="仿宋_GB2312"/>
        </w:rPr>
      </w:pPr>
      <w:r>
        <w:rPr>
          <w:rFonts w:hint="eastAsia" w:ascii="仿宋_GB2312" w:hAnsi="仿宋_GB2312" w:eastAsia="仿宋_GB2312" w:cs="仿宋_GB2312"/>
        </w:rPr>
        <w:t>按照工业用地土地还原率4.85%，法定最高出让年期为50年，计算工业用地使用年期修正系数，工业用地使用年期修正系数计算过程参见商服用地年期修正。</w:t>
      </w:r>
    </w:p>
    <w:p>
      <w:pPr>
        <w:bidi w:val="0"/>
        <w:rPr>
          <w:rFonts w:hint="eastAsia" w:ascii="仿宋_GB2312" w:hAnsi="仿宋_GB2312" w:eastAsia="仿宋_GB2312" w:cs="仿宋_GB2312"/>
        </w:rPr>
      </w:pPr>
      <w:r>
        <w:rPr>
          <w:rFonts w:hint="eastAsia" w:ascii="仿宋_GB2312" w:hAnsi="仿宋_GB2312" w:eastAsia="仿宋_GB2312" w:cs="仿宋_GB2312"/>
        </w:rPr>
        <w:t>工业用地地价土地使用权可使用年期地价修正系数见表2-17。</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表2-17  工业用地使用年期修正系数表</w:t>
      </w:r>
    </w:p>
    <w:tbl>
      <w:tblPr>
        <w:tblStyle w:val="14"/>
        <w:tblW w:w="8328"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524"/>
        <w:gridCol w:w="1134"/>
        <w:gridCol w:w="1134"/>
        <w:gridCol w:w="1134"/>
        <w:gridCol w:w="1134"/>
        <w:gridCol w:w="1134"/>
        <w:gridCol w:w="113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0.051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0.0997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0.1461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0.1904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0.2326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0.2729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0.3113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0.3829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0.4162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0.4783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0.5072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0.5348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0.5611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0.5862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0.6101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0.6329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0.6547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0.6754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0.6952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0.7141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0.7321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0.7493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0.7657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0.7813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0.7962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0.8104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0.8239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0.8369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0.8492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0.861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0.8722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0.8829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0.8931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0.9121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0.9209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0.9293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0.9374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0.9451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0.9594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0.966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0.9724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0.9784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0.9842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0.9897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0.995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基础设施修正</w:t>
      </w:r>
    </w:p>
    <w:p>
      <w:pPr>
        <w:bidi w:val="0"/>
        <w:rPr>
          <w:rFonts w:hint="eastAsia" w:ascii="仿宋_GB2312" w:hAnsi="仿宋_GB2312" w:eastAsia="仿宋_GB2312" w:cs="仿宋_GB2312"/>
        </w:rPr>
      </w:pPr>
      <w:r>
        <w:rPr>
          <w:rFonts w:hint="eastAsia" w:ascii="仿宋_GB2312" w:hAnsi="仿宋_GB2312" w:eastAsia="仿宋_GB2312" w:cs="仿宋_GB2312"/>
        </w:rPr>
        <w:t>乌兰图克镇的工业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工业用地宗地基础设施配套程度开发费用见表2-18。</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表2-18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847"/>
        <w:gridCol w:w="929"/>
        <w:gridCol w:w="912"/>
        <w:gridCol w:w="787"/>
        <w:gridCol w:w="842"/>
        <w:gridCol w:w="787"/>
        <w:gridCol w:w="840"/>
        <w:gridCol w:w="9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bookmarkStart w:id="27" w:name="_Toc492385479"/>
            <w:bookmarkStart w:id="28" w:name="_Toc438149410"/>
            <w:bookmarkStart w:id="29" w:name="_Toc438149092"/>
            <w:r>
              <w:rPr>
                <w:rFonts w:hint="eastAsia" w:ascii="仿宋_GB2312" w:hAnsi="仿宋_GB2312" w:eastAsia="仿宋_GB2312" w:cs="仿宋_GB2312"/>
                <w:b/>
                <w:bCs/>
                <w:kern w:val="0"/>
                <w:sz w:val="21"/>
                <w:szCs w:val="21"/>
              </w:rPr>
              <w:t>基础设施状况</w:t>
            </w:r>
          </w:p>
        </w:tc>
        <w:tc>
          <w:tcPr>
            <w:tcW w:w="49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54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53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49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49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58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w:t>
            </w:r>
          </w:p>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49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4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3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9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9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58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30" w:name="_Toc32543"/>
      <w:r>
        <w:rPr>
          <w:rFonts w:hint="eastAsia" w:ascii="仿宋_GB2312" w:hAnsi="仿宋_GB2312" w:eastAsia="仿宋_GB2312" w:cs="仿宋_GB2312"/>
          <w:lang w:eastAsia="zh-CN"/>
        </w:rPr>
        <w:t>四</w:t>
      </w:r>
      <w:r>
        <w:rPr>
          <w:rFonts w:hint="eastAsia" w:ascii="仿宋_GB2312" w:hAnsi="仿宋_GB2312" w:eastAsia="仿宋_GB2312" w:cs="仿宋_GB2312"/>
        </w:rPr>
        <w:t>、修正系数表及因素指标说明表编制</w:t>
      </w:r>
      <w:bookmarkEnd w:id="27"/>
      <w:bookmarkEnd w:id="28"/>
      <w:bookmarkEnd w:id="29"/>
      <w:bookmarkEnd w:id="30"/>
    </w:p>
    <w:p>
      <w:pPr>
        <w:bidi w:val="0"/>
        <w:rPr>
          <w:rFonts w:hint="eastAsia" w:ascii="仿宋_GB2312" w:hAnsi="仿宋_GB2312" w:eastAsia="仿宋_GB2312" w:cs="仿宋_GB2312"/>
        </w:rPr>
      </w:pPr>
      <w:r>
        <w:rPr>
          <w:rFonts w:hint="eastAsia" w:ascii="仿宋_GB2312" w:hAnsi="仿宋_GB2312" w:eastAsia="仿宋_GB2312" w:cs="仿宋_GB2312"/>
        </w:rPr>
        <w:t>根据上述结果，以土地级别和土地用途为表头，优劣程度为主栏，影响地价的修正因素为副栏，分别编制乌兰图克镇各级别商服用地、住宅用地、工业用地区位影响因素说明表和相对应修正系数表。</w:t>
      </w:r>
    </w:p>
    <w:p>
      <w:pPr>
        <w:pStyle w:val="18"/>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表2-19乌兰图克镇Ⅰ级商服用地区位因素修正系数指标说明表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8"/>
        <w:gridCol w:w="1379"/>
        <w:gridCol w:w="1032"/>
        <w:gridCol w:w="1085"/>
        <w:gridCol w:w="1968"/>
        <w:gridCol w:w="1068"/>
        <w:gridCol w:w="8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0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2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&lt;70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70-140</w:t>
            </w:r>
          </w:p>
        </w:tc>
        <w:tc>
          <w:tcPr>
            <w:tcW w:w="11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140-210</w:t>
            </w:r>
          </w:p>
        </w:tc>
        <w:tc>
          <w:tcPr>
            <w:tcW w:w="6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210-280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0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&lt;60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60-120</w:t>
            </w:r>
          </w:p>
        </w:tc>
        <w:tc>
          <w:tcPr>
            <w:tcW w:w="115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120-180</w:t>
            </w:r>
          </w:p>
        </w:tc>
        <w:tc>
          <w:tcPr>
            <w:tcW w:w="6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180-240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1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7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0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表2-20 乌兰图克镇Ⅰ级商服用地基准地价修正系数表</w:t>
      </w:r>
    </w:p>
    <w:tbl>
      <w:tblPr>
        <w:tblStyle w:val="14"/>
        <w:tblW w:w="500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3"/>
        <w:gridCol w:w="1220"/>
        <w:gridCol w:w="1220"/>
        <w:gridCol w:w="1221"/>
        <w:gridCol w:w="1221"/>
        <w:gridCol w:w="1221"/>
        <w:gridCol w:w="12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-0.0085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bl>
    <w:p>
      <w:pPr>
        <w:ind w:left="0" w:leftChars="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表2-21 乌兰图克镇Ⅱ级商服用地区位因素修正系数指标说明表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384"/>
        <w:gridCol w:w="978"/>
        <w:gridCol w:w="1141"/>
        <w:gridCol w:w="1819"/>
        <w:gridCol w:w="1192"/>
        <w:gridCol w:w="8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因素层</w:t>
            </w: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6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9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&lt;200</w:t>
            </w:r>
          </w:p>
        </w:tc>
        <w:tc>
          <w:tcPr>
            <w:tcW w:w="6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200-330</w:t>
            </w:r>
          </w:p>
        </w:tc>
        <w:tc>
          <w:tcPr>
            <w:tcW w:w="10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330-460</w:t>
            </w:r>
          </w:p>
        </w:tc>
        <w:tc>
          <w:tcPr>
            <w:tcW w:w="69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460-590</w:t>
            </w:r>
          </w:p>
        </w:tc>
        <w:tc>
          <w:tcPr>
            <w:tcW w:w="5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9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&lt;180</w:t>
            </w:r>
          </w:p>
        </w:tc>
        <w:tc>
          <w:tcPr>
            <w:tcW w:w="6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180-300</w:t>
            </w:r>
          </w:p>
        </w:tc>
        <w:tc>
          <w:tcPr>
            <w:tcW w:w="10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300-420</w:t>
            </w:r>
          </w:p>
        </w:tc>
        <w:tc>
          <w:tcPr>
            <w:tcW w:w="69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420-540</w:t>
            </w:r>
          </w:p>
        </w:tc>
        <w:tc>
          <w:tcPr>
            <w:tcW w:w="5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0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9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9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表2-22 乌兰图克镇Ⅱ级商服用地基准地价修正系数表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-0.0178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-0.0356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0.0092</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-0.0128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-0.0255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-0.0094</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表2-23乌兰图克镇Ⅲ级商服用地区位因素修正系数指标说明表</w:t>
      </w:r>
    </w:p>
    <w:tbl>
      <w:tblPr>
        <w:tblStyle w:val="14"/>
        <w:tblpPr w:leftFromText="180" w:rightFromText="180" w:vertAnchor="text" w:horzAnchor="page" w:tblpX="1802" w:tblpY="38"/>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1420"/>
        <w:gridCol w:w="978"/>
        <w:gridCol w:w="1044"/>
        <w:gridCol w:w="1929"/>
        <w:gridCol w:w="1179"/>
        <w:gridCol w:w="9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3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&lt;580</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580-860</w:t>
            </w:r>
          </w:p>
        </w:tc>
        <w:tc>
          <w:tcPr>
            <w:tcW w:w="113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860-1140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1140-1420</w:t>
            </w:r>
          </w:p>
        </w:tc>
        <w:tc>
          <w:tcPr>
            <w:tcW w:w="55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&lt;540</w:t>
            </w:r>
          </w:p>
        </w:tc>
        <w:tc>
          <w:tcPr>
            <w:tcW w:w="6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540-790</w:t>
            </w:r>
          </w:p>
        </w:tc>
        <w:tc>
          <w:tcPr>
            <w:tcW w:w="113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790-1040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1040-1290</w:t>
            </w:r>
          </w:p>
        </w:tc>
        <w:tc>
          <w:tcPr>
            <w:tcW w:w="55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1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01"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表2-24乌兰图克镇Ⅲ级商服用地基准地价修正系数表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2"/>
        <w:gridCol w:w="1217"/>
        <w:gridCol w:w="1218"/>
        <w:gridCol w:w="1218"/>
        <w:gridCol w:w="1218"/>
        <w:gridCol w:w="1218"/>
        <w:gridCol w:w="12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bl>
    <w:p>
      <w:pPr>
        <w:spacing w:line="324" w:lineRule="auto"/>
        <w:ind w:firstLine="446"/>
        <w:jc w:val="center"/>
        <w:rPr>
          <w:rFonts w:hint="eastAsia" w:ascii="仿宋_GB2312" w:hAnsi="仿宋_GB2312" w:eastAsia="仿宋_GB2312" w:cs="仿宋_GB2312"/>
          <w:b/>
          <w:sz w:val="21"/>
          <w:szCs w:val="21"/>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表2-25乌兰图克镇Ⅰ级住宅用地区位因素修正系数指标说明表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459"/>
        <w:gridCol w:w="1152"/>
        <w:gridCol w:w="1094"/>
        <w:gridCol w:w="1918"/>
        <w:gridCol w:w="1125"/>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64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64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4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&lt;110</w:t>
            </w:r>
          </w:p>
        </w:tc>
        <w:tc>
          <w:tcPr>
            <w:tcW w:w="64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110-220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220-330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330-440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4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5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7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41"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6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4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表2-26乌兰图克镇Ⅰ级住宅用地基准地价修正系数表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表2-27乌兰图克镇Ⅱ级住宅用地区位因素修正系数指标说明表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391"/>
        <w:gridCol w:w="1045"/>
        <w:gridCol w:w="1178"/>
        <w:gridCol w:w="1822"/>
        <w:gridCol w:w="1085"/>
        <w:gridCol w:w="9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1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9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6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3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3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6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5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06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5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6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5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&lt;390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390-550</w:t>
            </w:r>
          </w:p>
        </w:tc>
        <w:tc>
          <w:tcPr>
            <w:tcW w:w="106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550-710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710-870</w:t>
            </w:r>
          </w:p>
        </w:tc>
        <w:tc>
          <w:tcPr>
            <w:tcW w:w="5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06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63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5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1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13"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91"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36"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53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1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表2-28乌兰图克镇Ⅱ级住宅用地基准地价修正系数表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表2-29乌兰图克镇Ⅰ级工业用地区位因素修正系数指标说明表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4"/>
        <w:gridCol w:w="817"/>
        <w:gridCol w:w="1085"/>
        <w:gridCol w:w="1634"/>
        <w:gridCol w:w="2049"/>
        <w:gridCol w:w="1098"/>
        <w:gridCol w:w="8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3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95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20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8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4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9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2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4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9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2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4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4"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47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4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表2-30乌兰图克镇Ⅰ级工业用地基准地价修正系数表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表2-31乌兰图克镇Ⅱ级工业用地区位因素修正系数指标说明表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748"/>
        <w:gridCol w:w="1098"/>
        <w:gridCol w:w="1567"/>
        <w:gridCol w:w="1902"/>
        <w:gridCol w:w="1326"/>
        <w:gridCol w:w="8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4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91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1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7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7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1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7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1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7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4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7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表2-32乌兰图克镇Ⅱ级工业用地基准地价修正系数表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表2-33乌兰图克镇Ⅰ级公共服务项目用地I区位因素修正系数指标说明表</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879"/>
        <w:gridCol w:w="1072"/>
        <w:gridCol w:w="1526"/>
        <w:gridCol w:w="1862"/>
        <w:gridCol w:w="1205"/>
        <w:gridCol w:w="11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1072"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52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862"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205"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112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107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52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8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20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1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107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52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8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20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1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107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52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8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20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1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107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52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8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120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1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07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52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8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120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1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8"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9"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07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52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86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20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112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表2-34 乌兰图克镇Ⅰ级公共服务项目用地I基准地价修正系数表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表2-35乌兰图克镇Ⅱ级公共服务项目用地I区位因素修正系数指标说明表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7"/>
        <w:gridCol w:w="712"/>
        <w:gridCol w:w="1056"/>
        <w:gridCol w:w="1460"/>
        <w:gridCol w:w="1835"/>
        <w:gridCol w:w="1607"/>
        <w:gridCol w:w="9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1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8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7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94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3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9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9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9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0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9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0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9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41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8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0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9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表2-36 乌兰图克镇Ⅱ级公共服务项目用地I基准地价修正系数表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表2-37乌兰图克镇Ⅰ级公共服务项目用地II区位因素修正系数指标说明表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7"/>
        <w:gridCol w:w="1487"/>
        <w:gridCol w:w="1018"/>
        <w:gridCol w:w="1215"/>
        <w:gridCol w:w="1918"/>
        <w:gridCol w:w="1125"/>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7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7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7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9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71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2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72"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9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712"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6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6"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72"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1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2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表2-38 乌兰图克镇Ⅰ级公共服务项目用地II基准地价修正系数表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表2-39 乌兰图克镇Ⅱ级公共服务项目用地II区位因素修正系数指标说明表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18"/>
        <w:gridCol w:w="964"/>
        <w:gridCol w:w="1152"/>
        <w:gridCol w:w="1889"/>
        <w:gridCol w:w="1125"/>
        <w:gridCol w:w="8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6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7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0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6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1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10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51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10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51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10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51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7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10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51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31"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6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7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6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51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1"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0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1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表2-40 乌兰图克镇Ⅱ级公共服务项目用地II基准地价修正系数表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586"/>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pStyle w:val="3"/>
        <w:bidi w:val="0"/>
        <w:rPr>
          <w:rFonts w:hint="eastAsia" w:ascii="仿宋_GB2312" w:hAnsi="仿宋_GB2312" w:eastAsia="仿宋_GB2312" w:cs="仿宋_GB2312"/>
        </w:rPr>
      </w:pPr>
      <w:bookmarkStart w:id="31" w:name="_Toc16937"/>
      <w:bookmarkStart w:id="32" w:name="_Toc4226"/>
      <w:bookmarkStart w:id="33" w:name="_Toc848"/>
      <w:bookmarkStart w:id="34" w:name="_Toc13377"/>
      <w:bookmarkStart w:id="35" w:name="_Toc445367184"/>
      <w:r>
        <w:rPr>
          <w:rFonts w:hint="eastAsia" w:ascii="仿宋_GB2312" w:hAnsi="仿宋_GB2312" w:eastAsia="仿宋_GB2312" w:cs="仿宋_GB2312"/>
        </w:rPr>
        <w:t>第三章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成果对比分析</w:t>
      </w:r>
      <w:bookmarkEnd w:id="31"/>
      <w:bookmarkEnd w:id="32"/>
      <w:bookmarkEnd w:id="33"/>
      <w:bookmarkEnd w:id="34"/>
      <w:bookmarkEnd w:id="35"/>
    </w:p>
    <w:p>
      <w:pPr>
        <w:bidi w:val="0"/>
        <w:rPr>
          <w:rFonts w:hint="eastAsia" w:ascii="仿宋_GB2312" w:hAnsi="仿宋_GB2312" w:eastAsia="仿宋_GB2312" w:cs="仿宋_GB2312"/>
        </w:rPr>
      </w:pPr>
      <w:r>
        <w:rPr>
          <w:rFonts w:hint="eastAsia" w:ascii="仿宋_GB2312" w:hAnsi="仿宋_GB2312" w:eastAsia="仿宋_GB2312" w:cs="仿宋_GB2312"/>
        </w:rPr>
        <w:t>临河区乌兰图克镇2021年与2016年基准地价对比成果见表3-1。</w:t>
      </w:r>
    </w:p>
    <w:p>
      <w:pPr>
        <w:pStyle w:val="19"/>
        <w:spacing w:before="15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表3-1 临河区乌兰图克镇两次基准地价成果对比表</w:t>
      </w:r>
    </w:p>
    <w:p>
      <w:pPr>
        <w:tabs>
          <w:tab w:val="left" w:pos="705"/>
        </w:tabs>
        <w:spacing w:line="240" w:lineRule="auto"/>
        <w:ind w:firstLine="0" w:firstLineChars="0"/>
        <w:jc w:val="right"/>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单位：元/m</w:t>
      </w:r>
      <w:r>
        <w:rPr>
          <w:rFonts w:hint="eastAsia" w:ascii="仿宋_GB2312" w:hAnsi="仿宋_GB2312" w:eastAsia="仿宋_GB2312" w:cs="仿宋_GB2312"/>
          <w:sz w:val="21"/>
          <w:szCs w:val="21"/>
          <w:vertAlign w:val="superscript"/>
        </w:rPr>
        <w:t>2</w:t>
      </w:r>
    </w:p>
    <w:tbl>
      <w:tblPr>
        <w:tblStyle w:val="15"/>
        <w:tblpPr w:leftFromText="180" w:rightFromText="180" w:vertAnchor="text" w:horzAnchor="page" w:tblpXSpec="center" w:tblpY="217"/>
        <w:tblOverlap w:val="never"/>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057"/>
        <w:gridCol w:w="1058"/>
        <w:gridCol w:w="1080"/>
        <w:gridCol w:w="1054"/>
        <w:gridCol w:w="1076"/>
        <w:gridCol w:w="105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vMerge w:val="restart"/>
            <w:tcBorders>
              <w:top w:val="double" w:color="auto" w:sz="4" w:space="0"/>
              <w:lef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土地级别年份</w:t>
            </w:r>
          </w:p>
        </w:tc>
        <w:tc>
          <w:tcPr>
            <w:tcW w:w="3195" w:type="dxa"/>
            <w:gridSpan w:val="3"/>
            <w:tcBorders>
              <w:top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2130" w:type="dxa"/>
            <w:gridSpan w:val="2"/>
            <w:tcBorders>
              <w:top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2132" w:type="dxa"/>
            <w:gridSpan w:val="2"/>
            <w:tcBorders>
              <w:top w:val="double" w:color="auto" w:sz="4" w:space="0"/>
              <w:righ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vMerge w:val="continue"/>
            <w:tcBorders>
              <w:left w:val="double" w:color="auto" w:sz="4" w:space="0"/>
            </w:tcBorders>
            <w:vAlign w:val="center"/>
          </w:tcPr>
          <w:p>
            <w:pPr>
              <w:pStyle w:val="22"/>
              <w:rPr>
                <w:rFonts w:hint="eastAsia" w:ascii="仿宋_GB2312" w:hAnsi="仿宋_GB2312" w:eastAsia="仿宋_GB2312" w:cs="仿宋_GB2312"/>
                <w:b/>
                <w:bCs/>
                <w:sz w:val="21"/>
                <w:szCs w:val="21"/>
              </w:rPr>
            </w:pPr>
          </w:p>
        </w:tc>
        <w:tc>
          <w:tcPr>
            <w:tcW w:w="1057"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080"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1054"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076"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055"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077" w:type="dxa"/>
            <w:tcBorders>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tcBorders>
              <w:lef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2016年</w:t>
            </w:r>
          </w:p>
        </w:tc>
        <w:tc>
          <w:tcPr>
            <w:tcW w:w="1057"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1080"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054"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1076"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055"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077" w:type="dxa"/>
            <w:tcBorders>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tcBorders>
              <w:left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2021年</w:t>
            </w:r>
          </w:p>
        </w:tc>
        <w:tc>
          <w:tcPr>
            <w:tcW w:w="1057"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183</w:t>
            </w:r>
          </w:p>
        </w:tc>
        <w:tc>
          <w:tcPr>
            <w:tcW w:w="1058"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153</w:t>
            </w:r>
          </w:p>
        </w:tc>
        <w:tc>
          <w:tcPr>
            <w:tcW w:w="1080"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1054"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142</w:t>
            </w:r>
          </w:p>
        </w:tc>
        <w:tc>
          <w:tcPr>
            <w:tcW w:w="1076"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w:t>
            </w:r>
          </w:p>
        </w:tc>
        <w:tc>
          <w:tcPr>
            <w:tcW w:w="1055" w:type="dxa"/>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77" w:type="dxa"/>
            <w:tcBorders>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4" w:type="dxa"/>
            <w:tcBorders>
              <w:left w:val="double" w:color="auto" w:sz="4" w:space="0"/>
              <w:bottom w:val="double" w:color="auto" w:sz="4" w:space="0"/>
            </w:tcBorders>
            <w:vAlign w:val="center"/>
          </w:tcPr>
          <w:p>
            <w:pPr>
              <w:pStyle w:val="22"/>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增长率（%）</w:t>
            </w:r>
          </w:p>
        </w:tc>
        <w:tc>
          <w:tcPr>
            <w:tcW w:w="1057"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128.75%</w:t>
            </w:r>
          </w:p>
        </w:tc>
        <w:tc>
          <w:tcPr>
            <w:tcW w:w="1058"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135.38%</w:t>
            </w:r>
          </w:p>
        </w:tc>
        <w:tc>
          <w:tcPr>
            <w:tcW w:w="1080"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160.00%</w:t>
            </w:r>
          </w:p>
        </w:tc>
        <w:tc>
          <w:tcPr>
            <w:tcW w:w="1054"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136.67%</w:t>
            </w:r>
          </w:p>
        </w:tc>
        <w:tc>
          <w:tcPr>
            <w:tcW w:w="1076"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132.00%</w:t>
            </w:r>
          </w:p>
        </w:tc>
        <w:tc>
          <w:tcPr>
            <w:tcW w:w="1055" w:type="dxa"/>
            <w:tcBorders>
              <w:bottom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90.00%</w:t>
            </w:r>
          </w:p>
        </w:tc>
        <w:tc>
          <w:tcPr>
            <w:tcW w:w="1077" w:type="dxa"/>
            <w:tcBorders>
              <w:bottom w:val="double" w:color="auto" w:sz="4" w:space="0"/>
              <w:right w:val="double" w:color="auto" w:sz="4" w:space="0"/>
            </w:tcBorders>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95.00%</w:t>
            </w:r>
          </w:p>
        </w:tc>
      </w:tr>
    </w:tbl>
    <w:p>
      <w:pPr>
        <w:bidi w:val="0"/>
        <w:rPr>
          <w:rFonts w:hint="eastAsia" w:ascii="仿宋_GB2312" w:hAnsi="仿宋_GB2312" w:eastAsia="仿宋_GB2312" w:cs="仿宋_GB2312"/>
        </w:rPr>
      </w:pPr>
      <w:r>
        <w:rPr>
          <w:rFonts w:hint="eastAsia" w:ascii="仿宋_GB2312" w:hAnsi="仿宋_GB2312" w:eastAsia="仿宋_GB2312" w:cs="仿宋_GB2312"/>
        </w:rPr>
        <w:t>分析对比乌兰图克镇2016年、2021年的基准地价成果，可以看出，从2016年—2021年，商服、住宅、工业用地的地价总体呈上升趋势，其中商服Ⅲ级和住宅Ⅰ级增长最快。这主要由于近年来临河区乌兰图克镇经济快速发展，城区改造力度的加大促使土地市场不断发展，土地需求上升，从而促使地价上涨；同时基础设施条件的进一步完善，使得土地的取得和开发成本也有所上升，也导致土地价格的上涨。</w:t>
      </w:r>
    </w:p>
    <w:p>
      <w:pPr>
        <w:pStyle w:val="4"/>
        <w:spacing w:line="360" w:lineRule="auto"/>
        <w:ind w:firstLine="0" w:firstLineChars="0"/>
        <w:rPr>
          <w:rFonts w:hint="eastAsia" w:ascii="仿宋_GB2312" w:hAnsi="仿宋_GB2312" w:eastAsia="仿宋_GB2312" w:cs="仿宋_GB2312"/>
          <w:bCs/>
          <w:sz w:val="30"/>
          <w:szCs w:val="30"/>
        </w:rPr>
      </w:pPr>
      <w:bookmarkStart w:id="36" w:name="_Toc1572"/>
      <w:bookmarkStart w:id="37" w:name="_Toc7803"/>
      <w:bookmarkStart w:id="38" w:name="_Toc2121"/>
      <w:bookmarkStart w:id="39" w:name="_Toc27417"/>
      <w:r>
        <w:rPr>
          <w:rFonts w:hint="eastAsia" w:ascii="仿宋_GB2312" w:hAnsi="仿宋_GB2312" w:eastAsia="仿宋_GB2312" w:cs="仿宋_GB2312"/>
          <w:sz w:val="30"/>
          <w:szCs w:val="30"/>
        </w:rPr>
        <w:t>第一节</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成果意义</w:t>
      </w:r>
      <w:bookmarkEnd w:id="36"/>
      <w:bookmarkEnd w:id="37"/>
      <w:bookmarkEnd w:id="38"/>
      <w:bookmarkEnd w:id="39"/>
    </w:p>
    <w:p>
      <w:pPr>
        <w:bidi w:val="0"/>
        <w:rPr>
          <w:rFonts w:hint="eastAsia" w:ascii="仿宋_GB2312" w:hAnsi="仿宋_GB2312" w:eastAsia="仿宋_GB2312" w:cs="仿宋_GB2312"/>
        </w:rPr>
      </w:pPr>
      <w:r>
        <w:rPr>
          <w:rFonts w:hint="eastAsia" w:ascii="仿宋_GB2312" w:hAnsi="仿宋_GB2312" w:eastAsia="仿宋_GB2312" w:cs="仿宋_GB2312"/>
        </w:rPr>
        <w:t>临河区乌兰图克镇土地定级估价工作在土地管理历史上具有深远的影响，它不仅是一项重要的基础工作，而且具有广泛的现实意义。</w:t>
      </w:r>
    </w:p>
    <w:p>
      <w:pPr>
        <w:pStyle w:val="5"/>
        <w:bidi w:val="0"/>
        <w:rPr>
          <w:rFonts w:hint="eastAsia" w:ascii="仿宋_GB2312" w:hAnsi="仿宋_GB2312" w:eastAsia="仿宋_GB2312" w:cs="仿宋_GB2312"/>
        </w:rPr>
      </w:pPr>
      <w:bookmarkStart w:id="40" w:name="_Toc13280"/>
      <w:bookmarkStart w:id="41" w:name="_Toc16336"/>
      <w:r>
        <w:rPr>
          <w:rFonts w:hint="eastAsia" w:ascii="仿宋_GB2312" w:hAnsi="仿宋_GB2312" w:eastAsia="仿宋_GB2312" w:cs="仿宋_GB2312"/>
        </w:rPr>
        <w:t>一、是一项重要的基础工作</w:t>
      </w:r>
      <w:bookmarkEnd w:id="40"/>
      <w:bookmarkEnd w:id="41"/>
    </w:p>
    <w:p>
      <w:pPr>
        <w:bidi w:val="0"/>
        <w:rPr>
          <w:rFonts w:hint="eastAsia" w:ascii="仿宋_GB2312" w:hAnsi="仿宋_GB2312" w:eastAsia="仿宋_GB2312" w:cs="仿宋_GB2312"/>
        </w:rPr>
      </w:pPr>
      <w:r>
        <w:rPr>
          <w:rFonts w:hint="eastAsia" w:ascii="仿宋_GB2312" w:hAnsi="仿宋_GB2312" w:eastAsia="仿宋_GB2312" w:cs="仿宋_GB2312"/>
        </w:rPr>
        <w:t>地价管理是自然资源管理的重要组成部分，是土地市场的核心，全面、系统、准确地掌握土地价格的变化情况，分析发展趋势，不仅是国家制定土地政策、深化土地使用制度改革的需要，同时也能引导产业的健康发展，是国内外投资者实现合理回报的前提和决策依据。因此，科学合理制订地价体系，实施土地定级与基准地价评估是国土资源管理部门的一项重要的基础工作。</w:t>
      </w:r>
    </w:p>
    <w:p>
      <w:pPr>
        <w:pStyle w:val="5"/>
        <w:bidi w:val="0"/>
        <w:rPr>
          <w:rFonts w:hint="eastAsia" w:ascii="仿宋_GB2312" w:hAnsi="仿宋_GB2312" w:eastAsia="仿宋_GB2312" w:cs="仿宋_GB2312"/>
        </w:rPr>
      </w:pPr>
      <w:bookmarkStart w:id="42" w:name="_Toc27311"/>
      <w:bookmarkStart w:id="43" w:name="_Toc8709"/>
      <w:r>
        <w:rPr>
          <w:rFonts w:hint="eastAsia" w:ascii="仿宋_GB2312" w:hAnsi="仿宋_GB2312" w:eastAsia="仿宋_GB2312" w:cs="仿宋_GB2312"/>
        </w:rPr>
        <w:t>二、有利于宏观调控土地市场，指导地产交易</w:t>
      </w:r>
      <w:bookmarkEnd w:id="42"/>
      <w:bookmarkEnd w:id="43"/>
    </w:p>
    <w:p>
      <w:pPr>
        <w:bidi w:val="0"/>
        <w:rPr>
          <w:rFonts w:hint="eastAsia" w:ascii="仿宋_GB2312" w:hAnsi="仿宋_GB2312" w:eastAsia="仿宋_GB2312" w:cs="仿宋_GB2312"/>
        </w:rPr>
      </w:pPr>
      <w:r>
        <w:rPr>
          <w:rFonts w:hint="eastAsia" w:ascii="仿宋_GB2312" w:hAnsi="仿宋_GB2312" w:eastAsia="仿宋_GB2312" w:cs="仿宋_GB2312"/>
        </w:rPr>
        <w:t>临河区乌兰图克镇土地招、拍、挂已有一定发展，这是地产公开、公正、公平交易的象征。一级土地市场的垄断，二级土地市场的流转，核心问题是地价。本次工作无疑对土地市场的发育完善具有深远的积极影响。</w:t>
      </w:r>
    </w:p>
    <w:p>
      <w:pPr>
        <w:pStyle w:val="5"/>
        <w:bidi w:val="0"/>
        <w:rPr>
          <w:rFonts w:hint="eastAsia" w:ascii="仿宋_GB2312" w:hAnsi="仿宋_GB2312" w:eastAsia="仿宋_GB2312" w:cs="仿宋_GB2312"/>
        </w:rPr>
      </w:pPr>
      <w:bookmarkStart w:id="44" w:name="_Toc18349"/>
      <w:bookmarkStart w:id="45" w:name="_Toc11653"/>
      <w:r>
        <w:rPr>
          <w:rFonts w:hint="eastAsia" w:ascii="仿宋_GB2312" w:hAnsi="仿宋_GB2312" w:eastAsia="仿宋_GB2312" w:cs="仿宋_GB2312"/>
        </w:rPr>
        <w:t>三、为公平合理地收取土地税费提供依据</w:t>
      </w:r>
      <w:bookmarkEnd w:id="44"/>
      <w:bookmarkEnd w:id="45"/>
    </w:p>
    <w:p>
      <w:pPr>
        <w:bidi w:val="0"/>
        <w:rPr>
          <w:rFonts w:hint="eastAsia" w:ascii="仿宋_GB2312" w:hAnsi="仿宋_GB2312" w:eastAsia="仿宋_GB2312" w:cs="仿宋_GB2312"/>
          <w:lang w:eastAsia="zh-CN"/>
        </w:rPr>
      </w:pPr>
      <w:r>
        <w:rPr>
          <w:rFonts w:hint="eastAsia" w:ascii="仿宋_GB2312" w:hAnsi="仿宋_GB2312" w:eastAsia="仿宋_GB2312" w:cs="仿宋_GB2312"/>
        </w:rPr>
        <w:t>《中华人民共和国城镇房地产管理法》、《土地使用税暂行条例》、《增值税条例》、《土地出让转让暂行条例》、《契税暂行条例》、《耕地占用税实施办法》等法律、法规、规章对征收土地税费均有明确规定。其中有些是依据土地等级征收，有的是依据地价征收。因此，现行的土地使用税费标准可依据土地定级估价成果进行，从而确保征收税费的公平性</w:t>
      </w:r>
      <w:r>
        <w:rPr>
          <w:rFonts w:hint="eastAsia" w:ascii="仿宋_GB2312" w:hAnsi="仿宋_GB2312" w:eastAsia="仿宋_GB2312" w:cs="仿宋_GB2312"/>
          <w:lang w:eastAsia="zh-CN"/>
        </w:rPr>
        <w:t>。</w:t>
      </w:r>
    </w:p>
    <w:p>
      <w:pPr>
        <w:pStyle w:val="5"/>
        <w:bidi w:val="0"/>
        <w:rPr>
          <w:rFonts w:hint="eastAsia" w:ascii="仿宋_GB2312" w:hAnsi="仿宋_GB2312" w:eastAsia="仿宋_GB2312" w:cs="仿宋_GB2312"/>
        </w:rPr>
      </w:pPr>
      <w:bookmarkStart w:id="46" w:name="_Toc10274"/>
      <w:bookmarkStart w:id="47" w:name="_Toc15128"/>
      <w:r>
        <w:rPr>
          <w:rFonts w:hint="eastAsia" w:ascii="仿宋_GB2312" w:hAnsi="仿宋_GB2312" w:eastAsia="仿宋_GB2312" w:cs="仿宋_GB2312"/>
        </w:rPr>
        <w:t>四、更好地促进土地管理工作的开展</w:t>
      </w:r>
      <w:bookmarkEnd w:id="46"/>
      <w:bookmarkEnd w:id="47"/>
    </w:p>
    <w:p>
      <w:pPr>
        <w:bidi w:val="0"/>
        <w:rPr>
          <w:rFonts w:hint="eastAsia" w:ascii="仿宋_GB2312" w:hAnsi="仿宋_GB2312" w:eastAsia="仿宋_GB2312" w:cs="仿宋_GB2312"/>
        </w:rPr>
      </w:pPr>
      <w:r>
        <w:rPr>
          <w:rFonts w:hint="eastAsia" w:ascii="仿宋_GB2312" w:hAnsi="仿宋_GB2312" w:eastAsia="仿宋_GB2312" w:cs="仿宋_GB2312"/>
        </w:rPr>
        <w:t>地籍管理是土地管理的核心，而地籍调查是地籍管理的基础工作之一。通过对全镇各部门有关资料、图件的调查，以及各种数据的录入、处理，已形成一些有用的宗地数据和图件，应用于地籍调查和变更调查工作中，无疑可以促进这方面的业务的开展。</w:t>
      </w:r>
    </w:p>
    <w:p>
      <w:pPr>
        <w:bidi w:val="0"/>
        <w:rPr>
          <w:rFonts w:hint="eastAsia" w:ascii="仿宋_GB2312" w:hAnsi="仿宋_GB2312" w:eastAsia="仿宋_GB2312" w:cs="仿宋_GB2312"/>
        </w:rPr>
      </w:pPr>
      <w:r>
        <w:rPr>
          <w:rFonts w:hint="eastAsia" w:ascii="仿宋_GB2312" w:hAnsi="仿宋_GB2312" w:eastAsia="仿宋_GB2312" w:cs="仿宋_GB2312"/>
        </w:rPr>
        <w:t>此外，对土地管理信息化建设也具有参考价值。</w:t>
      </w:r>
    </w:p>
    <w:p>
      <w:pPr>
        <w:pStyle w:val="5"/>
        <w:bidi w:val="0"/>
        <w:rPr>
          <w:rFonts w:hint="eastAsia" w:ascii="仿宋_GB2312" w:hAnsi="仿宋_GB2312" w:eastAsia="仿宋_GB2312" w:cs="仿宋_GB2312"/>
        </w:rPr>
      </w:pPr>
      <w:bookmarkStart w:id="48" w:name="_Toc28007"/>
      <w:bookmarkStart w:id="49" w:name="_Toc28374"/>
      <w:r>
        <w:rPr>
          <w:rFonts w:hint="eastAsia" w:ascii="仿宋_GB2312" w:hAnsi="仿宋_GB2312" w:eastAsia="仿宋_GB2312" w:cs="仿宋_GB2312"/>
        </w:rPr>
        <w:t>五、为建立土地资产台账提供基础</w:t>
      </w:r>
      <w:bookmarkEnd w:id="48"/>
      <w:bookmarkEnd w:id="49"/>
    </w:p>
    <w:p>
      <w:pPr>
        <w:bidi w:val="0"/>
        <w:rPr>
          <w:rFonts w:hint="eastAsia" w:ascii="仿宋_GB2312" w:hAnsi="仿宋_GB2312" w:eastAsia="仿宋_GB2312" w:cs="仿宋_GB2312"/>
        </w:rPr>
      </w:pPr>
      <w:r>
        <w:rPr>
          <w:rFonts w:hint="eastAsia" w:ascii="仿宋_GB2312" w:hAnsi="仿宋_GB2312" w:eastAsia="仿宋_GB2312" w:cs="仿宋_GB2312"/>
        </w:rPr>
        <w:t>城镇地籍调查工作，除了查清土地权属状况和用地面积外，还应查清土地的级别、地价，上述要素均应在地籍档案中登记载明。利用土地定级估价成果，通过宗地评估工作，可以评估出宗地地价和土地资产量，建立宗地的土地资产台账，从而使宗地的资产量显化，进而促进土地登记工作质量的提高。</w:t>
      </w:r>
    </w:p>
    <w:p>
      <w:pPr>
        <w:pStyle w:val="4"/>
        <w:bidi w:val="0"/>
        <w:rPr>
          <w:rFonts w:hint="eastAsia" w:ascii="仿宋_GB2312" w:hAnsi="仿宋_GB2312" w:eastAsia="仿宋_GB2312" w:cs="仿宋_GB2312"/>
        </w:rPr>
      </w:pPr>
      <w:bookmarkStart w:id="50" w:name="_Toc17116"/>
      <w:bookmarkStart w:id="51" w:name="_Toc21817"/>
      <w:bookmarkStart w:id="52" w:name="_Toc7553"/>
      <w:bookmarkStart w:id="53" w:name="_Toc14380"/>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成果的应用说明</w:t>
      </w:r>
      <w:bookmarkEnd w:id="50"/>
      <w:bookmarkEnd w:id="51"/>
      <w:bookmarkEnd w:id="52"/>
      <w:bookmarkEnd w:id="53"/>
    </w:p>
    <w:p>
      <w:pPr>
        <w:bidi w:val="0"/>
        <w:rPr>
          <w:rFonts w:hint="eastAsia" w:ascii="仿宋_GB2312" w:hAnsi="仿宋_GB2312" w:eastAsia="仿宋_GB2312" w:cs="仿宋_GB2312"/>
        </w:rPr>
      </w:pPr>
      <w:r>
        <w:rPr>
          <w:rFonts w:hint="eastAsia" w:ascii="仿宋_GB2312" w:hAnsi="仿宋_GB2312" w:eastAsia="仿宋_GB2312" w:cs="仿宋_GB2312"/>
        </w:rPr>
        <w:t>任何成果最终目的在于应用，土地定级估价成果也不例外。自然资源局十分重视基准地价成果的应用，已经把它纳入地价管理重要工作内容之一。临河区乌兰图克镇土地定级估价工作自始至终注重它的应用，它不仅应在指导和规范土地市场方面发挥作用，而且应在城市建设、城市功能的提升、城市经济的发展等方面发挥其优势。</w:t>
      </w:r>
    </w:p>
    <w:p>
      <w:pPr>
        <w:pStyle w:val="5"/>
        <w:bidi w:val="0"/>
        <w:rPr>
          <w:rFonts w:hint="eastAsia" w:ascii="仿宋_GB2312" w:hAnsi="仿宋_GB2312" w:eastAsia="仿宋_GB2312" w:cs="仿宋_GB2312"/>
        </w:rPr>
      </w:pPr>
      <w:bookmarkStart w:id="54" w:name="_Toc1829"/>
      <w:bookmarkStart w:id="55" w:name="_Toc172"/>
      <w:r>
        <w:rPr>
          <w:rFonts w:hint="eastAsia" w:ascii="仿宋_GB2312" w:hAnsi="仿宋_GB2312" w:eastAsia="仿宋_GB2312" w:cs="仿宋_GB2312"/>
        </w:rPr>
        <w:t>一、土地定级成果的应用</w:t>
      </w:r>
      <w:bookmarkEnd w:id="54"/>
      <w:bookmarkEnd w:id="55"/>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土地级别</w:t>
      </w:r>
    </w:p>
    <w:p>
      <w:pPr>
        <w:bidi w:val="0"/>
        <w:rPr>
          <w:rFonts w:hint="eastAsia" w:ascii="仿宋_GB2312" w:hAnsi="仿宋_GB2312" w:eastAsia="仿宋_GB2312" w:cs="仿宋_GB2312"/>
        </w:rPr>
      </w:pPr>
      <w:r>
        <w:rPr>
          <w:rFonts w:hint="eastAsia" w:ascii="仿宋_GB2312" w:hAnsi="仿宋_GB2312" w:eastAsia="仿宋_GB2312" w:cs="仿宋_GB2312"/>
        </w:rPr>
        <w:t>土地级别主要反映城市内部土地的质量和利用效益的差异，可为城市规划、土地利用总体规划、土地计划等的制定提供依据，进而达到合理配置城市土地，最大限度地发挥土地的经济、社会、环境的综合效益。</w:t>
      </w:r>
    </w:p>
    <w:p>
      <w:pPr>
        <w:bidi w:val="0"/>
        <w:rPr>
          <w:rFonts w:hint="eastAsia" w:ascii="仿宋_GB2312" w:hAnsi="仿宋_GB2312" w:eastAsia="仿宋_GB2312" w:cs="仿宋_GB2312"/>
        </w:rPr>
      </w:pPr>
      <w:r>
        <w:rPr>
          <w:rFonts w:hint="eastAsia" w:ascii="仿宋_GB2312" w:hAnsi="仿宋_GB2312" w:eastAsia="仿宋_GB2312" w:cs="仿宋_GB2312"/>
        </w:rPr>
        <w:t>在具体应用该项成果时，应根据土地级别，将经济效益好的企业单位安排到一级土地上， 并尽可能提高优等土地的利用效率。城市规划部门同样应遵循最佳利用原则，合理安排城市内各功能用地结构，减少不合理的用地现象。</w:t>
      </w:r>
    </w:p>
    <w:p>
      <w:pPr>
        <w:bidi w:val="0"/>
        <w:rPr>
          <w:rFonts w:hint="eastAsia" w:ascii="仿宋_GB2312" w:hAnsi="仿宋_GB2312" w:eastAsia="仿宋_GB2312" w:cs="仿宋_GB2312"/>
        </w:rPr>
      </w:pPr>
      <w:r>
        <w:rPr>
          <w:rFonts w:hint="eastAsia" w:ascii="仿宋_GB2312" w:hAnsi="仿宋_GB2312" w:eastAsia="仿宋_GB2312" w:cs="仿宋_GB2312"/>
        </w:rPr>
        <w:t>此外，土地级别成果可为新增建设用地土地有偿使用费的征收，确定土地使用税的标准等方面提供重要依据。</w:t>
      </w:r>
    </w:p>
    <w:p>
      <w:pPr>
        <w:bidi w:val="0"/>
        <w:rPr>
          <w:rFonts w:hint="eastAsia" w:ascii="仿宋_GB2312" w:hAnsi="仿宋_GB2312" w:eastAsia="仿宋_GB2312" w:cs="仿宋_GB2312"/>
        </w:rPr>
      </w:pPr>
      <w:r>
        <w:rPr>
          <w:rFonts w:hint="eastAsia" w:ascii="仿宋_GB2312" w:hAnsi="仿宋_GB2312" w:eastAsia="仿宋_GB2312" w:cs="仿宋_GB2312"/>
        </w:rPr>
        <w:t>2.因素作用分值图</w:t>
      </w:r>
    </w:p>
    <w:p>
      <w:pPr>
        <w:bidi w:val="0"/>
        <w:rPr>
          <w:rFonts w:hint="eastAsia" w:ascii="仿宋_GB2312" w:hAnsi="仿宋_GB2312" w:eastAsia="仿宋_GB2312" w:cs="仿宋_GB2312"/>
        </w:rPr>
      </w:pPr>
      <w:r>
        <w:rPr>
          <w:rFonts w:hint="eastAsia" w:ascii="仿宋_GB2312" w:hAnsi="仿宋_GB2312" w:eastAsia="仿宋_GB2312" w:cs="仿宋_GB2312"/>
        </w:rPr>
        <w:t>应用地理信息系统软件完成的土地定级作用分值图，可直接读取某一宗地的作用分值。如采用比较法或利用基准地价修正系数法进行宗地估价时，利用土地定级作用分值图可计算待估宗地与参照宗地比例系数，从而求得待估宗地地价。</w:t>
      </w:r>
    </w:p>
    <w:p>
      <w:pPr>
        <w:pStyle w:val="8"/>
        <w:adjustRightInd w:val="0"/>
        <w:snapToGrid w:val="0"/>
        <w:spacing w:line="360" w:lineRule="auto"/>
        <w:ind w:firstLine="562" w:firstLineChars="200"/>
        <w:outlineLvl w:val="2"/>
        <w:rPr>
          <w:rFonts w:hint="eastAsia" w:ascii="仿宋_GB2312" w:hAnsi="仿宋_GB2312" w:eastAsia="仿宋_GB2312" w:cs="仿宋_GB2312"/>
          <w:b/>
          <w:bCs/>
          <w:sz w:val="28"/>
          <w:szCs w:val="28"/>
        </w:rPr>
      </w:pPr>
      <w:bookmarkStart w:id="56" w:name="_Toc3839"/>
      <w:bookmarkStart w:id="57" w:name="_Toc786"/>
      <w:r>
        <w:rPr>
          <w:rFonts w:hint="eastAsia" w:ascii="仿宋_GB2312" w:hAnsi="仿宋_GB2312" w:eastAsia="仿宋_GB2312" w:cs="仿宋_GB2312"/>
          <w:b/>
          <w:bCs/>
          <w:sz w:val="28"/>
          <w:szCs w:val="28"/>
        </w:rPr>
        <w:t>二、基准地价成果的应用</w:t>
      </w:r>
      <w:bookmarkEnd w:id="56"/>
      <w:bookmarkEnd w:id="57"/>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基准地价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宏观控制地价。洞察土地市场中地价变化趋势，为投资决策提供依据；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征收土地使用税费的依据。按照国际惯例，土地税一般是从价征税，而我国目前很难做到，征收的税额也偏低，达不到利用土地税收经济杠杆调节土地利用和土地级差收益的目的。因此，科学、合理、公开的基准地价能为科学地征收土地税费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确定中央与地方土地有偿使用收益分配的依据；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为地价评估工作提供依据；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为推行土地招标、拍卖、收购储备制度提供地价依据；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为实行基准地价评估和宗地地价公示制度奠定基础；</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对土地利用、流转合理引导；</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为国家进行地价动态监测，编制全国地价指数和临河区乌兰图克镇地价指数提供了依据。</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宗地地价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确定出让或收回土地的价格依据</w:t>
      </w:r>
    </w:p>
    <w:p>
      <w:pPr>
        <w:bidi w:val="0"/>
        <w:rPr>
          <w:rFonts w:hint="eastAsia" w:ascii="仿宋_GB2312" w:hAnsi="仿宋_GB2312" w:eastAsia="仿宋_GB2312" w:cs="仿宋_GB2312"/>
        </w:rPr>
      </w:pPr>
      <w:r>
        <w:rPr>
          <w:rFonts w:hint="eastAsia" w:ascii="仿宋_GB2312" w:hAnsi="仿宋_GB2312" w:eastAsia="仿宋_GB2312" w:cs="仿宋_GB2312"/>
        </w:rPr>
        <w:t>宗地地价是土地市场在一般供求规律上的地价，而在出让土地中，由于对不同项目和投资者的考虑，政府可以采取不同的价格进行出让，而宗地地价可作为衡量土地出让金征收标准之一。此外，国家依法收回土地，也需要确定合理的宗地地价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征收土地契税的重要依据</w:t>
      </w:r>
    </w:p>
    <w:p>
      <w:pPr>
        <w:bidi w:val="0"/>
        <w:rPr>
          <w:rFonts w:hint="eastAsia" w:ascii="仿宋_GB2312" w:hAnsi="仿宋_GB2312" w:eastAsia="仿宋_GB2312" w:cs="仿宋_GB2312"/>
        </w:rPr>
      </w:pPr>
      <w:r>
        <w:rPr>
          <w:rFonts w:hint="eastAsia" w:ascii="仿宋_GB2312" w:hAnsi="仿宋_GB2312" w:eastAsia="仿宋_GB2312" w:cs="仿宋_GB2312"/>
        </w:rPr>
        <w:t>《中华人民共和国契税暂行条例》规定的土地契税征收的依据是土地交易成交价格，确定宗地地价可以验证征收的土地契税是否得当。</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企业清产核资和改制中土地资产价格的评估依据</w:t>
      </w:r>
    </w:p>
    <w:p>
      <w:pPr>
        <w:bidi w:val="0"/>
        <w:rPr>
          <w:rFonts w:hint="eastAsia" w:ascii="仿宋_GB2312" w:hAnsi="仿宋_GB2312" w:eastAsia="仿宋_GB2312" w:cs="仿宋_GB2312"/>
        </w:rPr>
      </w:pPr>
      <w:r>
        <w:rPr>
          <w:rFonts w:hint="eastAsia" w:ascii="仿宋_GB2312" w:hAnsi="仿宋_GB2312" w:eastAsia="仿宋_GB2312" w:cs="仿宋_GB2312"/>
        </w:rPr>
        <w:t>我国绝大多数企事业单位都靠行政划拨方式取得土地使用权的，企业账面资产中不包括土地资产部分，有些也仅只有当时的征地费，不能反映土地资产的现值。为了正确反映出企业土地资产的现值，正确衡量企业的经营管理水平和发挥土地资产的效益，必须依据宗地地价对企业资产和股份制企业中的土地资产进行核实，合理反映企业土地资产状况，有效实现国家土地所有权，建立公平的竞争环境。</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优先购买权的衡量标准</w:t>
      </w:r>
    </w:p>
    <w:p>
      <w:pPr>
        <w:bidi w:val="0"/>
        <w:rPr>
          <w:rFonts w:hint="eastAsia" w:ascii="仿宋_GB2312" w:hAnsi="仿宋_GB2312" w:eastAsia="仿宋_GB2312" w:cs="仿宋_GB2312"/>
        </w:rPr>
      </w:pPr>
      <w:r>
        <w:rPr>
          <w:rFonts w:hint="eastAsia" w:ascii="仿宋_GB2312" w:hAnsi="仿宋_GB2312" w:eastAsia="仿宋_GB2312" w:cs="仿宋_GB2312"/>
        </w:rPr>
        <w:t>为增加政府管理土地市场的透明度，使土地使用者能够按市场规律进行交易并向政府申报交易价，支付相应的税费，对一些明显低于市场价的交易活动，政府可以采取优先购买权收回土地，以有效防止瞒价等行为对土地市场的不良影响，而宗地地价是决定实现优先购买的衡量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科学合理确定宗地地价的依据</w:t>
      </w:r>
    </w:p>
    <w:p>
      <w:pPr>
        <w:bidi w:val="0"/>
        <w:rPr>
          <w:rFonts w:hint="eastAsia" w:ascii="仿宋_GB2312" w:hAnsi="仿宋_GB2312" w:eastAsia="仿宋_GB2312" w:cs="仿宋_GB2312"/>
        </w:rPr>
      </w:pPr>
      <w:r>
        <w:rPr>
          <w:rFonts w:hint="eastAsia" w:ascii="仿宋_GB2312" w:hAnsi="仿宋_GB2312" w:eastAsia="仿宋_GB2312" w:cs="仿宋_GB2312"/>
        </w:rPr>
        <w:t>国有土地使用权转让、出让、抵押等交易过程中必须科学合理确定宗地地价。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土地使用权转移时，补交土地使用权出让金的标准</w:t>
      </w:r>
    </w:p>
    <w:p>
      <w:pPr>
        <w:bidi w:val="0"/>
        <w:rPr>
          <w:rFonts w:hint="eastAsia" w:ascii="仿宋_GB2312" w:hAnsi="仿宋_GB2312" w:eastAsia="仿宋_GB2312" w:cs="仿宋_GB2312"/>
        </w:rPr>
      </w:pPr>
      <w:r>
        <w:rPr>
          <w:rFonts w:hint="eastAsia" w:ascii="仿宋_GB2312" w:hAnsi="仿宋_GB2312" w:eastAsia="仿宋_GB2312" w:cs="仿宋_GB2312"/>
        </w:rPr>
        <w:t>划拨土地使用权管理中，需根据具体地块的条件评估出标定地价，作为补交土地出让金的标准。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确定土地增值税（费）和衡量土地使用权转移价格的标准</w:t>
      </w:r>
    </w:p>
    <w:p>
      <w:pPr>
        <w:bidi w:val="0"/>
        <w:rPr>
          <w:rFonts w:hint="eastAsia" w:ascii="仿宋_GB2312" w:hAnsi="仿宋_GB2312" w:eastAsia="仿宋_GB2312" w:cs="仿宋_GB2312"/>
        </w:rPr>
      </w:pPr>
      <w:r>
        <w:rPr>
          <w:rFonts w:hint="eastAsia" w:ascii="仿宋_GB2312" w:hAnsi="仿宋_GB2312" w:eastAsia="仿宋_GB2312" w:cs="仿宋_GB2312"/>
        </w:rPr>
        <w:t>随着社会经济和城市建设的发展，只要地价是逐年上升的，不论土地是否转移，都是按涨价后的价格标准参与经济活动，并获得收益的。因此，宗地地价可以反映不同时期地块的增值，为将来社会发展所产生的土地增值收归国家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司法仲裁中涉及的土地评估的依据</w:t>
      </w:r>
    </w:p>
    <w:p>
      <w:pPr>
        <w:bidi w:val="0"/>
        <w:rPr>
          <w:rFonts w:hint="eastAsia" w:ascii="仿宋_GB2312" w:hAnsi="仿宋_GB2312" w:eastAsia="仿宋_GB2312" w:cs="仿宋_GB2312"/>
          <w:szCs w:val="28"/>
        </w:rPr>
      </w:pPr>
      <w:r>
        <w:rPr>
          <w:rFonts w:hint="eastAsia" w:ascii="仿宋_GB2312" w:hAnsi="仿宋_GB2312" w:eastAsia="仿宋_GB2312" w:cs="仿宋_GB2312"/>
        </w:rPr>
        <w:t>在司法机关涉及的债务或其他纠纷时，必须需要确定宗地地价水</w:t>
      </w:r>
      <w:r>
        <w:rPr>
          <w:rFonts w:hint="eastAsia" w:ascii="仿宋_GB2312" w:hAnsi="仿宋_GB2312" w:eastAsia="仿宋_GB2312" w:cs="仿宋_GB2312"/>
          <w:szCs w:val="28"/>
        </w:rPr>
        <w:t>平。</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基准地价修正体系</w:t>
      </w:r>
    </w:p>
    <w:p>
      <w:pPr>
        <w:bidi w:val="0"/>
        <w:rPr>
          <w:rFonts w:hint="eastAsia" w:ascii="仿宋_GB2312" w:hAnsi="仿宋_GB2312" w:eastAsia="仿宋_GB2312" w:cs="仿宋_GB2312"/>
        </w:rPr>
      </w:pPr>
      <w:r>
        <w:rPr>
          <w:rFonts w:hint="eastAsia" w:ascii="仿宋_GB2312" w:hAnsi="仿宋_GB2312" w:eastAsia="仿宋_GB2312" w:cs="仿宋_GB2312"/>
        </w:rPr>
        <w:t>临河区乌兰图克镇基准地价的定义为：在估价基准日为2021年6月30日，设定土地开发程度为商服、住宅用地“五通一平”（宗地红线外通电、通路、通讯、通上水、通下水和宗地内场地平整），工业用地“四通一平”（宗地红线外通电、通路、通上水、通讯和宗地内场地平整）的条件下，各网格单元、各地价区段、各应用评价单元和各级别中，在国有土地使用权出让状态下，按商服、住宅、工业三类用途区分，在法定最高出让年限商服用地40年、居住用地70年、工业用地50年；标准容积率为商服用地1.0、居住用地1.0和工业用地0.7时的区域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的显著特点就是反映城市土地产生的实际效益，并将一定期限土地使用价值以货币形式反映出来。基准地价并不代表每宗地的具体价格，而是代表某一评价单元、某一级别、某一道路两侧的平均地价，它显示土地的一般价格差异。在实际工作中，应用最广泛的是需要确定宗地地价。为此，专门编制了基准地价修正体系，评估宗地地价应以基准地价为基准，依据基准地价修正体系，具体确定影响宗地地价的修正系数。</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应用基准地价修正体系成果的说明</w:t>
      </w:r>
    </w:p>
    <w:p>
      <w:pPr>
        <w:bidi w:val="0"/>
        <w:rPr>
          <w:rFonts w:hint="eastAsia" w:ascii="仿宋_GB2312" w:hAnsi="仿宋_GB2312" w:eastAsia="仿宋_GB2312" w:cs="仿宋_GB2312"/>
        </w:rPr>
      </w:pPr>
      <w:r>
        <w:rPr>
          <w:rFonts w:hint="eastAsia" w:ascii="仿宋_GB2312" w:hAnsi="仿宋_GB2312" w:eastAsia="仿宋_GB2312" w:cs="仿宋_GB2312"/>
        </w:rPr>
        <w:t>基准地价修正体系包括了商服、住宅、工业用地的各级地基准地价。各类基准地价的差异较大，修正方法和系数也不同，故在进行宗地地价评估时，应选择合理的基准地价。</w:t>
      </w:r>
    </w:p>
    <w:p>
      <w:pPr>
        <w:bidi w:val="0"/>
        <w:rPr>
          <w:rFonts w:hint="eastAsia" w:ascii="仿宋_GB2312" w:hAnsi="仿宋_GB2312" w:eastAsia="仿宋_GB2312" w:cs="仿宋_GB2312"/>
        </w:rPr>
      </w:pPr>
      <w:r>
        <w:rPr>
          <w:rFonts w:hint="eastAsia" w:ascii="仿宋_GB2312" w:hAnsi="仿宋_GB2312" w:eastAsia="仿宋_GB2312" w:cs="仿宋_GB2312"/>
        </w:rPr>
        <w:t>对于商服用途宗地评估，可分不同的区段按级别商服用地地价修正系数表和指标说明表，在级别基准地价的基础上修正。由于划分的评价单元已考虑到均质性因素，故修正时只需进行宗地形状、容积率等个别因素的修正。</w:t>
      </w:r>
    </w:p>
    <w:p>
      <w:pPr>
        <w:bidi w:val="0"/>
        <w:rPr>
          <w:rFonts w:hint="eastAsia" w:ascii="仿宋_GB2312" w:hAnsi="仿宋_GB2312" w:eastAsia="仿宋_GB2312" w:cs="仿宋_GB2312"/>
        </w:rPr>
      </w:pPr>
      <w:r>
        <w:rPr>
          <w:rFonts w:hint="eastAsia" w:ascii="仿宋_GB2312" w:hAnsi="仿宋_GB2312" w:eastAsia="仿宋_GB2312" w:cs="仿宋_GB2312"/>
        </w:rPr>
        <w:t>对于居住和工业用途宗地评估的修正方法采取级别住宅用地地价修正系数表和修正系数指标说明表，在级别基准地价的基础上修正。</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成果应用时效性说明</w:t>
      </w:r>
    </w:p>
    <w:p>
      <w:pPr>
        <w:bidi w:val="0"/>
        <w:rPr>
          <w:rFonts w:hint="eastAsia" w:ascii="仿宋_GB2312" w:hAnsi="仿宋_GB2312" w:eastAsia="仿宋_GB2312" w:cs="仿宋_GB2312"/>
        </w:rPr>
      </w:pPr>
      <w:r>
        <w:rPr>
          <w:rFonts w:hint="eastAsia" w:ascii="仿宋_GB2312" w:hAnsi="仿宋_GB2312" w:eastAsia="仿宋_GB2312" w:cs="仿宋_GB2312"/>
        </w:rPr>
        <w:t>土地估价是依据土地市场现状和近三年商服、工业企业用地效益状况为基础评估的。由于基准地价受土地供求关系（如土地利用规划、土地供应计划）、经济发展水平、地价指数等多方面影响，基准地价评估成果动态变化比土地定级成果要快。一般情况下，基准地价评估成果有效期为2－3年。因此，基准地价须根据土地市场状况每2－3年调整一次。</w:t>
      </w:r>
    </w:p>
    <w:p>
      <w:pPr>
        <w:pStyle w:val="5"/>
        <w:bidi w:val="0"/>
        <w:rPr>
          <w:rFonts w:hint="eastAsia" w:ascii="仿宋_GB2312" w:hAnsi="仿宋_GB2312" w:eastAsia="仿宋_GB2312" w:cs="仿宋_GB2312"/>
        </w:rPr>
      </w:pPr>
      <w:bookmarkStart w:id="58" w:name="_Toc20800"/>
      <w:bookmarkStart w:id="59" w:name="_Toc19423"/>
      <w:r>
        <w:rPr>
          <w:rFonts w:hint="eastAsia" w:ascii="仿宋_GB2312" w:hAnsi="仿宋_GB2312" w:eastAsia="仿宋_GB2312" w:cs="仿宋_GB2312"/>
        </w:rPr>
        <w:t>三、土地定级估价信息系统应用说明</w:t>
      </w:r>
      <w:bookmarkEnd w:id="58"/>
      <w:bookmarkEnd w:id="59"/>
    </w:p>
    <w:p>
      <w:pPr>
        <w:bidi w:val="0"/>
        <w:rPr>
          <w:rFonts w:hint="eastAsia" w:ascii="仿宋_GB2312" w:hAnsi="仿宋_GB2312" w:eastAsia="仿宋_GB2312" w:cs="仿宋_GB2312"/>
        </w:rPr>
      </w:pPr>
      <w:r>
        <w:rPr>
          <w:rFonts w:hint="eastAsia" w:ascii="仿宋_GB2312" w:hAnsi="仿宋_GB2312" w:eastAsia="仿宋_GB2312" w:cs="仿宋_GB2312"/>
        </w:rPr>
        <w:t>土地定级估价信息系统实现土地定级资料（表格和图件）录入、各因素因子作用分值表编制、各因素因子作用分值计算与制图、土地级别划分与论证；利用本系统可实现土地定级成果的动态管理与更新。要保持土地定级成果的现势性，关键在于及时收集与更新原始土地定级资料。</w:t>
      </w:r>
    </w:p>
    <w:p>
      <w:pPr>
        <w:bidi w:val="0"/>
        <w:rPr>
          <w:rFonts w:hint="eastAsia" w:ascii="仿宋_GB2312" w:hAnsi="仿宋_GB2312" w:eastAsia="仿宋_GB2312" w:cs="仿宋_GB2312"/>
        </w:rPr>
      </w:pPr>
      <w:r>
        <w:rPr>
          <w:rFonts w:hint="eastAsia" w:ascii="仿宋_GB2312" w:hAnsi="仿宋_GB2312" w:eastAsia="仿宋_GB2312" w:cs="仿宋_GB2312"/>
        </w:rPr>
        <w:t>土地定级估价信息系统实现商服、工业企业用地效益级差收益模型测算级别地价、土地市场样点地价、地价样点监测的计算，并进行基准地价评估。应用本系统应及时收集城市商服、工业企业用地效益和土地市场方面资料，更新数据库，维护地价数据库的现势性。</w:t>
      </w:r>
    </w:p>
    <w:p>
      <w:pPr>
        <w:ind w:firstLine="586"/>
        <w:rPr>
          <w:rFonts w:hint="eastAsia" w:ascii="仿宋_GB2312" w:hAnsi="仿宋_GB2312" w:eastAsia="仿宋_GB2312" w:cs="仿宋_GB2312"/>
          <w:b/>
          <w:bCs/>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4"/>
      </w:pPr>
      <w:r>
        <w:separator/>
      </w:r>
    </w:p>
  </w:endnote>
  <w:endnote w:type="continuationSeparator" w:id="1">
    <w:p>
      <w:pPr>
        <w:spacing w:line="240" w:lineRule="auto"/>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84"/>
      </w:pPr>
      <w:r>
        <w:separator/>
      </w:r>
    </w:p>
  </w:footnote>
  <w:footnote w:type="continuationSeparator" w:id="1">
    <w:p>
      <w:pPr>
        <w:spacing w:line="360" w:lineRule="auto"/>
        <w:ind w:firstLine="5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before="100" w:beforeAutospacing="1" w:after="100" w:afterAutospacing="1" w:line="200" w:lineRule="atLeast"/>
      <w:ind w:firstLine="0" w:firstLineChars="0"/>
      <w:jc w:val="center"/>
      <w:rPr>
        <w:rFonts w:ascii="华文行楷" w:hAnsi="宋体" w:eastAsia="华文行楷"/>
        <w:bCs/>
        <w:sz w:val="18"/>
        <w:szCs w:val="18"/>
      </w:rPr>
    </w:pPr>
    <w:r>
      <w:rPr>
        <w:rFonts w:hint="eastAsia" w:ascii="宋体" w:hAnsi="宋体"/>
        <w:sz w:val="18"/>
        <w:szCs w:val="18"/>
      </w:rPr>
      <w:t>临河区乌兰图克镇土地定级与基准地价更新</w:t>
    </w:r>
    <w:r>
      <w:rPr>
        <w:rFonts w:hint="eastAsia" w:ascii="宋体" w:hAnsi="宋体"/>
        <w:sz w:val="18"/>
        <w:szCs w:val="18"/>
        <w:lang w:eastAsia="zh-CN"/>
      </w:rPr>
      <w:t>成果</w:t>
    </w:r>
    <w:r>
      <w:rPr>
        <w:rFonts w:hint="eastAsia" w:ascii="宋体" w:hAnsi="宋体"/>
        <w:sz w:val="18"/>
        <w:szCs w:val="18"/>
      </w:rPr>
      <w:t>报告</w:t>
    </w:r>
  </w:p>
  <w:p>
    <w:pPr>
      <w:pStyle w:val="11"/>
      <w:ind w:firstLine="3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32C0E"/>
    <w:multiLevelType w:val="singleLevel"/>
    <w:tmpl w:val="48332C0E"/>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ZWE5ZjFmNmFiYzUwOTFmZDc1NzEwNmYzYjI3OTQifQ=="/>
  </w:docVars>
  <w:rsids>
    <w:rsidRoot w:val="003C188C"/>
    <w:rsid w:val="00332DE5"/>
    <w:rsid w:val="003C188C"/>
    <w:rsid w:val="00CD0E81"/>
    <w:rsid w:val="03B67E7D"/>
    <w:rsid w:val="03FB4C99"/>
    <w:rsid w:val="05720133"/>
    <w:rsid w:val="06D7523A"/>
    <w:rsid w:val="087F48A3"/>
    <w:rsid w:val="09247809"/>
    <w:rsid w:val="09744BA5"/>
    <w:rsid w:val="0A2907F1"/>
    <w:rsid w:val="0B5358E8"/>
    <w:rsid w:val="0BBA6FAB"/>
    <w:rsid w:val="0EF526ED"/>
    <w:rsid w:val="122A0851"/>
    <w:rsid w:val="1266072B"/>
    <w:rsid w:val="129B1D9B"/>
    <w:rsid w:val="14716AB7"/>
    <w:rsid w:val="15C60400"/>
    <w:rsid w:val="1C797167"/>
    <w:rsid w:val="1D436A48"/>
    <w:rsid w:val="222612B3"/>
    <w:rsid w:val="22482B79"/>
    <w:rsid w:val="22590BC0"/>
    <w:rsid w:val="243871B6"/>
    <w:rsid w:val="251A2C2B"/>
    <w:rsid w:val="25C24DF6"/>
    <w:rsid w:val="25C5258E"/>
    <w:rsid w:val="25ED6560"/>
    <w:rsid w:val="26CF1730"/>
    <w:rsid w:val="27356178"/>
    <w:rsid w:val="27CE77CE"/>
    <w:rsid w:val="2A7447D6"/>
    <w:rsid w:val="2BC17995"/>
    <w:rsid w:val="302818A9"/>
    <w:rsid w:val="30FF784A"/>
    <w:rsid w:val="325E57DA"/>
    <w:rsid w:val="33B742B2"/>
    <w:rsid w:val="341E0EB1"/>
    <w:rsid w:val="34440100"/>
    <w:rsid w:val="36447CF6"/>
    <w:rsid w:val="364606A5"/>
    <w:rsid w:val="37940295"/>
    <w:rsid w:val="38F44008"/>
    <w:rsid w:val="39065446"/>
    <w:rsid w:val="3ABA6967"/>
    <w:rsid w:val="3B4C0EA1"/>
    <w:rsid w:val="3D5D7FD3"/>
    <w:rsid w:val="3DB415F1"/>
    <w:rsid w:val="3F394F98"/>
    <w:rsid w:val="40A13CB3"/>
    <w:rsid w:val="44EB71F6"/>
    <w:rsid w:val="47BB5336"/>
    <w:rsid w:val="4877324A"/>
    <w:rsid w:val="48E7440B"/>
    <w:rsid w:val="4D2A6CF2"/>
    <w:rsid w:val="4D3E25E1"/>
    <w:rsid w:val="50A849D2"/>
    <w:rsid w:val="52045760"/>
    <w:rsid w:val="52067FEE"/>
    <w:rsid w:val="52B50A11"/>
    <w:rsid w:val="530B7DDF"/>
    <w:rsid w:val="537C3A6F"/>
    <w:rsid w:val="538E073A"/>
    <w:rsid w:val="55E2114F"/>
    <w:rsid w:val="57A34A14"/>
    <w:rsid w:val="581F036A"/>
    <w:rsid w:val="58E331D0"/>
    <w:rsid w:val="65571C71"/>
    <w:rsid w:val="6B8C78B8"/>
    <w:rsid w:val="6C5216A9"/>
    <w:rsid w:val="6CB32469"/>
    <w:rsid w:val="6CEA433A"/>
    <w:rsid w:val="6DA265FA"/>
    <w:rsid w:val="72A01E26"/>
    <w:rsid w:val="73BD5C80"/>
    <w:rsid w:val="770327CF"/>
    <w:rsid w:val="77E43CB3"/>
    <w:rsid w:val="79D2393C"/>
    <w:rsid w:val="79FE5D6F"/>
    <w:rsid w:val="7AC91C3D"/>
    <w:rsid w:val="7BEB4EE8"/>
    <w:rsid w:val="7CC26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spacing w:val="6"/>
      <w:kern w:val="2"/>
      <w:sz w:val="28"/>
      <w:szCs w:val="24"/>
      <w:lang w:val="en-US" w:eastAsia="zh-CN" w:bidi="ar-SA"/>
    </w:rPr>
  </w:style>
  <w:style w:type="paragraph" w:styleId="3">
    <w:name w:val="heading 1"/>
    <w:basedOn w:val="1"/>
    <w:next w:val="1"/>
    <w:qFormat/>
    <w:uiPriority w:val="0"/>
    <w:pPr>
      <w:keepNext/>
      <w:keepLines/>
      <w:spacing w:line="360" w:lineRule="auto"/>
      <w:ind w:firstLine="0" w:firstLineChars="0"/>
      <w:jc w:val="center"/>
      <w:outlineLvl w:val="0"/>
    </w:pPr>
    <w:rPr>
      <w:rFonts w:eastAsia="仿宋_GB2312"/>
      <w:b/>
      <w:kern w:val="44"/>
      <w:sz w:val="32"/>
      <w:szCs w:val="20"/>
    </w:rPr>
  </w:style>
  <w:style w:type="paragraph" w:styleId="4">
    <w:name w:val="heading 2"/>
    <w:basedOn w:val="1"/>
    <w:next w:val="1"/>
    <w:qFormat/>
    <w:uiPriority w:val="0"/>
    <w:pPr>
      <w:keepNext/>
      <w:keepLines/>
      <w:spacing w:line="360" w:lineRule="auto"/>
      <w:ind w:firstLine="0" w:firstLineChars="0"/>
      <w:jc w:val="center"/>
      <w:outlineLvl w:val="1"/>
    </w:pPr>
    <w:rPr>
      <w:rFonts w:ascii="Arial" w:hAnsi="Arial" w:eastAsia="仿宋_GB2312"/>
      <w:b/>
      <w:sz w:val="30"/>
      <w:szCs w:val="20"/>
    </w:rPr>
  </w:style>
  <w:style w:type="paragraph" w:styleId="5">
    <w:name w:val="heading 3"/>
    <w:basedOn w:val="1"/>
    <w:next w:val="1"/>
    <w:unhideWhenUsed/>
    <w:qFormat/>
    <w:uiPriority w:val="0"/>
    <w:pPr>
      <w:keepNext/>
      <w:keepLines/>
      <w:spacing w:line="360" w:lineRule="auto"/>
      <w:outlineLvl w:val="2"/>
    </w:pPr>
    <w:rPr>
      <w:b/>
      <w:bCs/>
      <w:szCs w:val="32"/>
    </w:rPr>
  </w:style>
  <w:style w:type="paragraph" w:styleId="2">
    <w:name w:val="heading 4"/>
    <w:basedOn w:val="1"/>
    <w:next w:val="1"/>
    <w:unhideWhenUsed/>
    <w:qFormat/>
    <w:uiPriority w:val="0"/>
    <w:pPr>
      <w:keepNext/>
      <w:keepLines/>
      <w:spacing w:beforeLines="0" w:beforeAutospacing="0" w:afterAutospacing="0" w:line="360" w:lineRule="auto"/>
      <w:outlineLvl w:val="3"/>
    </w:pPr>
    <w:rPr>
      <w:rFonts w:ascii="Arial" w:hAnsi="Arial"/>
      <w:b/>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firstLineChars="0"/>
      <w:textAlignment w:val="baseline"/>
    </w:pPr>
    <w:rPr>
      <w:spacing w:val="0"/>
      <w:kern w:val="0"/>
      <w:szCs w:val="20"/>
    </w:rPr>
  </w:style>
  <w:style w:type="paragraph" w:styleId="7">
    <w:name w:val="toc 3"/>
    <w:basedOn w:val="1"/>
    <w:next w:val="1"/>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spacing w:val="0"/>
      <w:szCs w:val="20"/>
    </w:rPr>
  </w:style>
  <w:style w:type="paragraph" w:styleId="9">
    <w:name w:val="Balloon Text"/>
    <w:basedOn w:val="1"/>
    <w:link w:val="23"/>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表头"/>
    <w:basedOn w:val="1"/>
    <w:qFormat/>
    <w:uiPriority w:val="0"/>
    <w:pPr>
      <w:tabs>
        <w:tab w:val="left" w:pos="2865"/>
        <w:tab w:val="center" w:pos="4617"/>
      </w:tabs>
      <w:spacing w:before="120" w:after="120" w:line="240" w:lineRule="auto"/>
      <w:ind w:firstLine="0" w:firstLineChars="0"/>
      <w:jc w:val="center"/>
    </w:pPr>
    <w:rPr>
      <w:rFonts w:ascii="仿宋" w:hAnsi="仿宋" w:eastAsia="仿宋"/>
      <w:b/>
      <w:szCs w:val="21"/>
    </w:rPr>
  </w:style>
  <w:style w:type="paragraph" w:customStyle="1" w:styleId="18">
    <w:name w:val="表头啦啦啦"/>
    <w:basedOn w:val="1"/>
    <w:qFormat/>
    <w:uiPriority w:val="0"/>
    <w:pPr>
      <w:tabs>
        <w:tab w:val="left" w:pos="2865"/>
        <w:tab w:val="center" w:pos="4617"/>
      </w:tabs>
      <w:ind w:firstLine="0" w:firstLineChars="0"/>
      <w:jc w:val="center"/>
    </w:pPr>
    <w:rPr>
      <w:rFonts w:ascii="黑体" w:hAnsi="黑体" w:eastAsia="黑体"/>
      <w:b/>
      <w:szCs w:val="21"/>
    </w:rPr>
  </w:style>
  <w:style w:type="paragraph" w:customStyle="1" w:styleId="19">
    <w:name w:val="1表头"/>
    <w:basedOn w:val="1"/>
    <w:qFormat/>
    <w:uiPriority w:val="0"/>
    <w:pPr>
      <w:snapToGrid w:val="0"/>
      <w:spacing w:beforeLines="50"/>
      <w:ind w:firstLine="0" w:firstLineChars="0"/>
      <w:jc w:val="center"/>
    </w:pPr>
    <w:rPr>
      <w:rFonts w:hint="eastAsia" w:ascii="黑体" w:hAnsi="黑体" w:eastAsia="黑体" w:cs="黑体"/>
      <w:b/>
      <w:bCs/>
      <w:szCs w:val="21"/>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表内容"/>
    <w:basedOn w:val="1"/>
    <w:qFormat/>
    <w:uiPriority w:val="0"/>
    <w:pPr>
      <w:spacing w:line="240" w:lineRule="auto"/>
      <w:ind w:right="31" w:rightChars="14" w:firstLine="0" w:firstLineChars="0"/>
      <w:jc w:val="center"/>
    </w:pPr>
    <w:rPr>
      <w:sz w:val="22"/>
      <w:szCs w:val="21"/>
    </w:rPr>
  </w:style>
  <w:style w:type="character" w:customStyle="1" w:styleId="23">
    <w:name w:val="批注框文本 Char"/>
    <w:basedOn w:val="16"/>
    <w:link w:val="9"/>
    <w:uiPriority w:val="0"/>
    <w:rPr>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wmf"/><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13728</Words>
  <Characters>19239</Characters>
  <Lines>178</Lines>
  <Paragraphs>50</Paragraphs>
  <TotalTime>31</TotalTime>
  <ScaleCrop>false</ScaleCrop>
  <LinksUpToDate>false</LinksUpToDate>
  <CharactersWithSpaces>19389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刘婷</cp:lastModifiedBy>
  <dcterms:modified xsi:type="dcterms:W3CDTF">2022-07-11T01:35:39Z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2CD14080BA734DFB81A73BFB0AD17BA9</vt:lpwstr>
  </property>
</Properties>
</file>