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4"/>
        <w:rPr>
          <w:rFonts w:hint="eastAsia" w:ascii="仿宋_GB2312" w:hAnsi="仿宋_GB2312" w:eastAsia="仿宋_GB2312" w:cs="仿宋_GB2312"/>
        </w:rPr>
      </w:pPr>
    </w:p>
    <w:p>
      <w:pPr>
        <w:ind w:left="444" w:firstLine="444"/>
        <w:jc w:val="center"/>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firstLine="0" w:firstLineChars="0"/>
        <w:jc w:val="center"/>
        <w:rPr>
          <w:rFonts w:hint="eastAsia" w:ascii="仿宋_GB2312" w:hAnsi="仿宋_GB2312" w:eastAsia="仿宋_GB2312" w:cs="仿宋_GB2312"/>
          <w:b/>
          <w:spacing w:val="60"/>
          <w:sz w:val="48"/>
          <w:szCs w:val="48"/>
        </w:rPr>
      </w:pPr>
      <w:r>
        <w:rPr>
          <w:rFonts w:hint="eastAsia" w:ascii="仿宋_GB2312" w:hAnsi="仿宋_GB2312" w:eastAsia="仿宋_GB2312" w:cs="仿宋_GB2312"/>
          <w:b/>
          <w:spacing w:val="60"/>
          <w:sz w:val="48"/>
          <w:szCs w:val="48"/>
        </w:rPr>
        <w:t>巴彦淖尔市临河区白脑包镇</w:t>
      </w:r>
    </w:p>
    <w:p>
      <w:pPr>
        <w:ind w:firstLine="0" w:firstLineChars="0"/>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土地定级与基准地价更新成果报告</w:t>
      </w:r>
    </w:p>
    <w:p>
      <w:pPr>
        <w:spacing w:line="480" w:lineRule="auto"/>
        <w:ind w:firstLine="0" w:firstLineChars="0"/>
        <w:jc w:val="center"/>
        <w:rPr>
          <w:rFonts w:hint="eastAsia" w:ascii="仿宋_GB2312" w:hAnsi="仿宋_GB2312" w:eastAsia="仿宋_GB2312" w:cs="仿宋_GB2312"/>
          <w:b/>
          <w:bCs/>
          <w:sz w:val="48"/>
          <w:szCs w:val="48"/>
        </w:rPr>
      </w:pPr>
    </w:p>
    <w:p>
      <w:pPr>
        <w:spacing w:line="480" w:lineRule="auto"/>
        <w:ind w:firstLine="0" w:firstLineChars="0"/>
        <w:jc w:val="center"/>
        <w:rPr>
          <w:rFonts w:hint="eastAsia" w:ascii="仿宋_GB2312" w:hAnsi="仿宋_GB2312" w:eastAsia="仿宋_GB2312" w:cs="仿宋_GB2312"/>
          <w:b/>
          <w:bCs/>
          <w:sz w:val="48"/>
          <w:szCs w:val="48"/>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ind w:firstLine="0" w:firstLineChars="0"/>
        <w:rPr>
          <w:rFonts w:hint="eastAsia" w:ascii="仿宋_GB2312" w:hAnsi="仿宋_GB2312" w:eastAsia="仿宋_GB2312" w:cs="仿宋_GB2312"/>
          <w:b/>
          <w:bCs/>
          <w:sz w:val="32"/>
        </w:rPr>
      </w:pP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巴彦淖尔市自然资源局临河区分局</w:t>
      </w: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内蒙古科瑞房地产土地资产评估有限公司</w:t>
      </w:r>
    </w:p>
    <w:p>
      <w:pPr>
        <w:ind w:firstLine="0" w:firstLineChars="0"/>
        <w:jc w:val="center"/>
        <w:rPr>
          <w:rFonts w:hint="eastAsia" w:ascii="仿宋_GB2312" w:hAnsi="仿宋_GB2312" w:eastAsia="仿宋_GB2312" w:cs="仿宋_GB2312"/>
          <w:b/>
          <w:bCs/>
          <w:sz w:val="32"/>
        </w:rPr>
      </w:pPr>
      <w:r>
        <w:rPr>
          <w:rFonts w:hint="eastAsia" w:ascii="仿宋_GB2312" w:hAnsi="仿宋_GB2312" w:eastAsia="仿宋_GB2312" w:cs="仿宋_GB2312"/>
          <w:b/>
          <w:sz w:val="32"/>
          <w:szCs w:val="32"/>
        </w:rPr>
        <w:t>二〇二一年十二月</w:t>
      </w:r>
    </w:p>
    <w:p>
      <w:pPr>
        <w:pStyle w:val="3"/>
        <w:spacing w:before="0" w:after="0" w:line="360" w:lineRule="auto"/>
        <w:ind w:firstLine="0" w:firstLineChars="0"/>
        <w:rPr>
          <w:rFonts w:hint="eastAsia" w:ascii="仿宋_GB2312" w:hAnsi="仿宋_GB2312" w:eastAsia="仿宋_GB2312" w:cs="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0" w:num="1"/>
          <w:rtlGutter w:val="0"/>
          <w:docGrid w:type="lines" w:linePitch="312" w:charSpace="0"/>
        </w:sect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目</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录</w:t>
      </w:r>
    </w:p>
    <w:p>
      <w:pPr>
        <w:pStyle w:val="12"/>
        <w:tabs>
          <w:tab w:val="right" w:leader="dot" w:pos="8306"/>
        </w:tabs>
        <w:ind w:left="0" w:leftChars="0" w:firstLine="0" w:firstLineChars="0"/>
        <w:rPr>
          <w:rFonts w:ascii="宋体" w:hAnsi="宋体" w:eastAsia="仿宋_GB2312" w:cs="宋体"/>
          <w:b/>
          <w:bCs/>
          <w:spacing w:val="6"/>
          <w:kern w:val="2"/>
          <w:sz w:val="28"/>
          <w:szCs w:val="24"/>
          <w:lang w:val="en-US" w:eastAsia="zh-CN" w:bidi="ar-SA"/>
        </w:rPr>
      </w:pPr>
      <w:r>
        <w:rPr>
          <w:rFonts w:hint="eastAsia" w:ascii="宋体" w:hAnsi="宋体" w:eastAsia="仿宋_GB2312" w:cs="宋体"/>
          <w:b/>
          <w:bCs/>
          <w:spacing w:val="6"/>
          <w:kern w:val="2"/>
          <w:sz w:val="28"/>
          <w:szCs w:val="24"/>
          <w:lang w:val="en-US" w:eastAsia="zh-CN" w:bidi="ar-SA"/>
        </w:rPr>
        <w:fldChar w:fldCharType="begin"/>
      </w:r>
      <w:r>
        <w:rPr>
          <w:rFonts w:hint="eastAsia" w:ascii="宋体" w:hAnsi="宋体" w:eastAsia="仿宋_GB2312" w:cs="宋体"/>
          <w:b/>
          <w:bCs/>
          <w:spacing w:val="6"/>
          <w:kern w:val="2"/>
          <w:sz w:val="28"/>
          <w:szCs w:val="24"/>
          <w:lang w:val="en-US" w:eastAsia="zh-CN" w:bidi="ar-SA"/>
        </w:rPr>
        <w:instrText xml:space="preserve">TOC \o "1-3" \h \u </w:instrText>
      </w:r>
      <w:r>
        <w:rPr>
          <w:rFonts w:hint="eastAsia" w:ascii="宋体" w:hAnsi="宋体" w:eastAsia="仿宋_GB2312" w:cs="宋体"/>
          <w:b/>
          <w:bCs/>
          <w:spacing w:val="6"/>
          <w:kern w:val="2"/>
          <w:sz w:val="28"/>
          <w:szCs w:val="24"/>
          <w:lang w:val="en-US" w:eastAsia="zh-CN" w:bidi="ar-SA"/>
        </w:rPr>
        <w:fldChar w:fldCharType="separate"/>
      </w:r>
      <w:r>
        <w:rPr>
          <w:rFonts w:hint="eastAsia" w:ascii="宋体" w:hAnsi="宋体" w:eastAsia="仿宋_GB2312" w:cs="宋体"/>
          <w:b/>
          <w:bCs/>
          <w:spacing w:val="6"/>
          <w:kern w:val="2"/>
          <w:sz w:val="28"/>
          <w:szCs w:val="24"/>
          <w:lang w:val="en-US" w:eastAsia="zh-CN" w:bidi="ar-SA"/>
        </w:rPr>
        <w:fldChar w:fldCharType="begin"/>
      </w:r>
      <w:r>
        <w:rPr>
          <w:rFonts w:hint="eastAsia" w:ascii="宋体" w:hAnsi="宋体" w:eastAsia="仿宋_GB2312" w:cs="宋体"/>
          <w:b/>
          <w:bCs/>
          <w:spacing w:val="6"/>
          <w:kern w:val="2"/>
          <w:sz w:val="28"/>
          <w:szCs w:val="24"/>
          <w:lang w:val="en-US" w:eastAsia="zh-CN" w:bidi="ar-SA"/>
        </w:rPr>
        <w:instrText xml:space="preserve"> HYPERLINK \l _Toc24777 </w:instrText>
      </w:r>
      <w:r>
        <w:rPr>
          <w:rFonts w:hint="eastAsia" w:ascii="宋体" w:hAnsi="宋体" w:eastAsia="仿宋_GB2312" w:cs="宋体"/>
          <w:b/>
          <w:bCs/>
          <w:spacing w:val="6"/>
          <w:kern w:val="2"/>
          <w:sz w:val="28"/>
          <w:szCs w:val="24"/>
          <w:lang w:val="en-US" w:eastAsia="zh-CN" w:bidi="ar-SA"/>
        </w:rPr>
        <w:fldChar w:fldCharType="separate"/>
      </w:r>
      <w:r>
        <w:rPr>
          <w:rFonts w:hint="eastAsia" w:ascii="宋体" w:hAnsi="宋体" w:eastAsia="仿宋_GB2312" w:cs="宋体"/>
          <w:b/>
          <w:bCs/>
          <w:spacing w:val="6"/>
          <w:kern w:val="2"/>
          <w:sz w:val="28"/>
          <w:szCs w:val="24"/>
          <w:lang w:val="en-US" w:eastAsia="zh-CN" w:bidi="ar-SA"/>
        </w:rPr>
        <w:t>第一章  白脑包镇土地定级与基准地价更新技术路线</w:t>
      </w:r>
      <w:r>
        <w:rPr>
          <w:rFonts w:ascii="宋体" w:hAnsi="宋体" w:eastAsia="仿宋_GB2312" w:cs="宋体"/>
          <w:b/>
          <w:bCs/>
          <w:spacing w:val="6"/>
          <w:kern w:val="2"/>
          <w:sz w:val="28"/>
          <w:szCs w:val="24"/>
          <w:lang w:val="en-US" w:eastAsia="zh-CN" w:bidi="ar-SA"/>
        </w:rPr>
        <w:tab/>
      </w:r>
      <w:r>
        <w:rPr>
          <w:rFonts w:ascii="宋体" w:hAnsi="宋体" w:eastAsia="仿宋_GB2312" w:cs="宋体"/>
          <w:b/>
          <w:bCs/>
          <w:spacing w:val="6"/>
          <w:kern w:val="2"/>
          <w:sz w:val="28"/>
          <w:szCs w:val="24"/>
          <w:lang w:val="en-US" w:eastAsia="zh-CN" w:bidi="ar-SA"/>
        </w:rPr>
        <w:fldChar w:fldCharType="begin"/>
      </w:r>
      <w:r>
        <w:rPr>
          <w:rFonts w:ascii="宋体" w:hAnsi="宋体" w:eastAsia="仿宋_GB2312" w:cs="宋体"/>
          <w:b/>
          <w:bCs/>
          <w:spacing w:val="6"/>
          <w:kern w:val="2"/>
          <w:sz w:val="28"/>
          <w:szCs w:val="24"/>
          <w:lang w:val="en-US" w:eastAsia="zh-CN" w:bidi="ar-SA"/>
        </w:rPr>
        <w:instrText xml:space="preserve"> PAGEREF _Toc24777 \h </w:instrText>
      </w:r>
      <w:r>
        <w:rPr>
          <w:rFonts w:ascii="宋体" w:hAnsi="宋体" w:eastAsia="仿宋_GB2312" w:cs="宋体"/>
          <w:b/>
          <w:bCs/>
          <w:spacing w:val="6"/>
          <w:kern w:val="2"/>
          <w:sz w:val="28"/>
          <w:szCs w:val="24"/>
          <w:lang w:val="en-US" w:eastAsia="zh-CN" w:bidi="ar-SA"/>
        </w:rPr>
        <w:fldChar w:fldCharType="separate"/>
      </w:r>
      <w:r>
        <w:rPr>
          <w:rFonts w:ascii="宋体" w:hAnsi="宋体" w:eastAsia="仿宋_GB2312" w:cs="宋体"/>
          <w:b/>
          <w:bCs/>
          <w:spacing w:val="6"/>
          <w:kern w:val="2"/>
          <w:sz w:val="28"/>
          <w:szCs w:val="24"/>
          <w:lang w:val="en-US" w:eastAsia="zh-CN" w:bidi="ar-SA"/>
        </w:rPr>
        <w:t>1</w:t>
      </w:r>
      <w:r>
        <w:rPr>
          <w:rFonts w:ascii="宋体" w:hAnsi="宋体" w:eastAsia="仿宋_GB2312" w:cs="宋体"/>
          <w:b/>
          <w:bCs/>
          <w:spacing w:val="6"/>
          <w:kern w:val="2"/>
          <w:sz w:val="28"/>
          <w:szCs w:val="24"/>
          <w:lang w:val="en-US" w:eastAsia="zh-CN" w:bidi="ar-SA"/>
        </w:rPr>
        <w:fldChar w:fldCharType="end"/>
      </w:r>
      <w:r>
        <w:rPr>
          <w:rFonts w:hint="eastAsia" w:ascii="宋体" w:hAnsi="宋体" w:eastAsia="仿宋_GB2312" w:cs="宋体"/>
          <w:b/>
          <w:bCs/>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292" w:firstLineChars="100"/>
        <w:textAlignment w:val="auto"/>
        <w:rPr>
          <w:rFonts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_Toc24788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第一节  土地定级的技术路线</w:t>
      </w:r>
      <w:r>
        <w:rPr>
          <w:rFonts w:ascii="宋体" w:hAnsi="宋体" w:eastAsia="仿宋_GB2312" w:cs="宋体"/>
          <w:b w:val="0"/>
          <w:bCs w:val="0"/>
          <w:spacing w:val="6"/>
          <w:kern w:val="2"/>
          <w:sz w:val="28"/>
          <w:szCs w:val="24"/>
          <w:lang w:val="en-US" w:eastAsia="zh-CN" w:bidi="ar-SA"/>
        </w:rPr>
        <w:tab/>
      </w:r>
      <w:r>
        <w:rPr>
          <w:rFonts w:ascii="宋体" w:hAnsi="宋体" w:eastAsia="仿宋_GB2312" w:cs="宋体"/>
          <w:b w:val="0"/>
          <w:bCs w:val="0"/>
          <w:spacing w:val="6"/>
          <w:kern w:val="2"/>
          <w:sz w:val="28"/>
          <w:szCs w:val="24"/>
          <w:lang w:val="en-US" w:eastAsia="zh-CN" w:bidi="ar-SA"/>
        </w:rPr>
        <w:fldChar w:fldCharType="begin"/>
      </w:r>
      <w:r>
        <w:rPr>
          <w:rFonts w:ascii="宋体" w:hAnsi="宋体" w:eastAsia="仿宋_GB2312" w:cs="宋体"/>
          <w:b w:val="0"/>
          <w:bCs w:val="0"/>
          <w:spacing w:val="6"/>
          <w:kern w:val="2"/>
          <w:sz w:val="28"/>
          <w:szCs w:val="24"/>
          <w:lang w:val="en-US" w:eastAsia="zh-CN" w:bidi="ar-SA"/>
        </w:rPr>
        <w:instrText xml:space="preserve"> PAGEREF _Toc24788 \h </w:instrText>
      </w:r>
      <w:r>
        <w:rPr>
          <w:rFonts w:ascii="宋体" w:hAnsi="宋体" w:eastAsia="仿宋_GB2312" w:cs="宋体"/>
          <w:b w:val="0"/>
          <w:bCs w:val="0"/>
          <w:spacing w:val="6"/>
          <w:kern w:val="2"/>
          <w:sz w:val="28"/>
          <w:szCs w:val="24"/>
          <w:lang w:val="en-US" w:eastAsia="zh-CN" w:bidi="ar-SA"/>
        </w:rPr>
        <w:fldChar w:fldCharType="separate"/>
      </w:r>
      <w:r>
        <w:rPr>
          <w:rFonts w:ascii="宋体" w:hAnsi="宋体" w:eastAsia="仿宋_GB2312" w:cs="宋体"/>
          <w:b w:val="0"/>
          <w:bCs w:val="0"/>
          <w:spacing w:val="6"/>
          <w:kern w:val="2"/>
          <w:sz w:val="28"/>
          <w:szCs w:val="24"/>
          <w:lang w:val="en-US" w:eastAsia="zh-CN" w:bidi="ar-SA"/>
        </w:rPr>
        <w:t>1</w:t>
      </w:r>
      <w:r>
        <w:rPr>
          <w:rFonts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292" w:firstLineChars="100"/>
        <w:textAlignment w:val="auto"/>
        <w:rPr>
          <w:rFonts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_Toc29676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第二节  基准地价评估的技术路线</w:t>
      </w:r>
      <w:r>
        <w:rPr>
          <w:rFonts w:ascii="宋体" w:hAnsi="宋体" w:eastAsia="仿宋_GB2312" w:cs="宋体"/>
          <w:b w:val="0"/>
          <w:bCs w:val="0"/>
          <w:spacing w:val="6"/>
          <w:kern w:val="2"/>
          <w:sz w:val="28"/>
          <w:szCs w:val="24"/>
          <w:lang w:val="en-US" w:eastAsia="zh-CN" w:bidi="ar-SA"/>
        </w:rPr>
        <w:tab/>
      </w:r>
      <w:r>
        <w:rPr>
          <w:rFonts w:ascii="宋体" w:hAnsi="宋体" w:eastAsia="仿宋_GB2312" w:cs="宋体"/>
          <w:b w:val="0"/>
          <w:bCs w:val="0"/>
          <w:spacing w:val="6"/>
          <w:kern w:val="2"/>
          <w:sz w:val="28"/>
          <w:szCs w:val="24"/>
          <w:lang w:val="en-US" w:eastAsia="zh-CN" w:bidi="ar-SA"/>
        </w:rPr>
        <w:fldChar w:fldCharType="begin"/>
      </w:r>
      <w:r>
        <w:rPr>
          <w:rFonts w:ascii="宋体" w:hAnsi="宋体" w:eastAsia="仿宋_GB2312" w:cs="宋体"/>
          <w:b w:val="0"/>
          <w:bCs w:val="0"/>
          <w:spacing w:val="6"/>
          <w:kern w:val="2"/>
          <w:sz w:val="28"/>
          <w:szCs w:val="24"/>
          <w:lang w:val="en-US" w:eastAsia="zh-CN" w:bidi="ar-SA"/>
        </w:rPr>
        <w:instrText xml:space="preserve"> PAGEREF _Toc29676 \h </w:instrText>
      </w:r>
      <w:r>
        <w:rPr>
          <w:rFonts w:ascii="宋体" w:hAnsi="宋体" w:eastAsia="仿宋_GB2312" w:cs="宋体"/>
          <w:b w:val="0"/>
          <w:bCs w:val="0"/>
          <w:spacing w:val="6"/>
          <w:kern w:val="2"/>
          <w:sz w:val="28"/>
          <w:szCs w:val="24"/>
          <w:lang w:val="en-US" w:eastAsia="zh-CN" w:bidi="ar-SA"/>
        </w:rPr>
        <w:fldChar w:fldCharType="separate"/>
      </w:r>
      <w:r>
        <w:rPr>
          <w:rFonts w:ascii="宋体" w:hAnsi="宋体" w:eastAsia="仿宋_GB2312" w:cs="宋体"/>
          <w:b w:val="0"/>
          <w:bCs w:val="0"/>
          <w:spacing w:val="6"/>
          <w:kern w:val="2"/>
          <w:sz w:val="28"/>
          <w:szCs w:val="24"/>
          <w:lang w:val="en-US" w:eastAsia="zh-CN" w:bidi="ar-SA"/>
        </w:rPr>
        <w:t>2</w:t>
      </w:r>
      <w:r>
        <w:rPr>
          <w:rFonts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tabs>
          <w:tab w:val="right" w:leader="dot" w:pos="8306"/>
        </w:tabs>
        <w:ind w:left="0" w:leftChars="0" w:firstLine="0" w:firstLineChars="0"/>
        <w:rPr>
          <w:rFonts w:ascii="宋体" w:hAnsi="宋体" w:eastAsia="仿宋_GB2312" w:cs="宋体"/>
          <w:b/>
          <w:bCs/>
          <w:spacing w:val="6"/>
          <w:kern w:val="2"/>
          <w:sz w:val="28"/>
          <w:szCs w:val="24"/>
          <w:lang w:val="en-US" w:eastAsia="zh-CN" w:bidi="ar-SA"/>
        </w:rPr>
      </w:pPr>
      <w:r>
        <w:rPr>
          <w:rFonts w:hint="eastAsia" w:ascii="宋体" w:hAnsi="宋体" w:eastAsia="仿宋_GB2312" w:cs="宋体"/>
          <w:b/>
          <w:bCs/>
          <w:spacing w:val="6"/>
          <w:kern w:val="2"/>
          <w:sz w:val="28"/>
          <w:szCs w:val="24"/>
          <w:lang w:val="en-US" w:eastAsia="zh-CN" w:bidi="ar-SA"/>
        </w:rPr>
        <w:fldChar w:fldCharType="begin"/>
      </w:r>
      <w:r>
        <w:rPr>
          <w:rFonts w:hint="eastAsia" w:ascii="宋体" w:hAnsi="宋体" w:eastAsia="仿宋_GB2312" w:cs="宋体"/>
          <w:b/>
          <w:bCs/>
          <w:spacing w:val="6"/>
          <w:kern w:val="2"/>
          <w:sz w:val="28"/>
          <w:szCs w:val="24"/>
          <w:lang w:val="en-US" w:eastAsia="zh-CN" w:bidi="ar-SA"/>
        </w:rPr>
        <w:instrText xml:space="preserve"> HYPERLINK \l _Toc10095 </w:instrText>
      </w:r>
      <w:r>
        <w:rPr>
          <w:rFonts w:hint="eastAsia" w:ascii="宋体" w:hAnsi="宋体" w:eastAsia="仿宋_GB2312" w:cs="宋体"/>
          <w:b/>
          <w:bCs/>
          <w:spacing w:val="6"/>
          <w:kern w:val="2"/>
          <w:sz w:val="28"/>
          <w:szCs w:val="24"/>
          <w:lang w:val="en-US" w:eastAsia="zh-CN" w:bidi="ar-SA"/>
        </w:rPr>
        <w:fldChar w:fldCharType="separate"/>
      </w:r>
      <w:r>
        <w:rPr>
          <w:rFonts w:hint="eastAsia" w:ascii="宋体" w:hAnsi="宋体" w:eastAsia="仿宋_GB2312" w:cs="宋体"/>
          <w:b/>
          <w:bCs/>
          <w:spacing w:val="6"/>
          <w:kern w:val="2"/>
          <w:sz w:val="28"/>
          <w:szCs w:val="24"/>
          <w:lang w:val="en-US" w:eastAsia="zh-CN" w:bidi="ar-SA"/>
        </w:rPr>
        <w:t>第二章  白脑包镇基准地价更新成果</w:t>
      </w:r>
      <w:r>
        <w:rPr>
          <w:rFonts w:ascii="宋体" w:hAnsi="宋体" w:eastAsia="仿宋_GB2312" w:cs="宋体"/>
          <w:b/>
          <w:bCs/>
          <w:spacing w:val="6"/>
          <w:kern w:val="2"/>
          <w:sz w:val="28"/>
          <w:szCs w:val="24"/>
          <w:lang w:val="en-US" w:eastAsia="zh-CN" w:bidi="ar-SA"/>
        </w:rPr>
        <w:tab/>
      </w:r>
      <w:r>
        <w:rPr>
          <w:rFonts w:ascii="宋体" w:hAnsi="宋体" w:eastAsia="仿宋_GB2312" w:cs="宋体"/>
          <w:b/>
          <w:bCs/>
          <w:spacing w:val="6"/>
          <w:kern w:val="2"/>
          <w:sz w:val="28"/>
          <w:szCs w:val="24"/>
          <w:lang w:val="en-US" w:eastAsia="zh-CN" w:bidi="ar-SA"/>
        </w:rPr>
        <w:fldChar w:fldCharType="begin"/>
      </w:r>
      <w:r>
        <w:rPr>
          <w:rFonts w:ascii="宋体" w:hAnsi="宋体" w:eastAsia="仿宋_GB2312" w:cs="宋体"/>
          <w:b/>
          <w:bCs/>
          <w:spacing w:val="6"/>
          <w:kern w:val="2"/>
          <w:sz w:val="28"/>
          <w:szCs w:val="24"/>
          <w:lang w:val="en-US" w:eastAsia="zh-CN" w:bidi="ar-SA"/>
        </w:rPr>
        <w:instrText xml:space="preserve"> PAGEREF _Toc10095 \h </w:instrText>
      </w:r>
      <w:r>
        <w:rPr>
          <w:rFonts w:ascii="宋体" w:hAnsi="宋体" w:eastAsia="仿宋_GB2312" w:cs="宋体"/>
          <w:b/>
          <w:bCs/>
          <w:spacing w:val="6"/>
          <w:kern w:val="2"/>
          <w:sz w:val="28"/>
          <w:szCs w:val="24"/>
          <w:lang w:val="en-US" w:eastAsia="zh-CN" w:bidi="ar-SA"/>
        </w:rPr>
        <w:fldChar w:fldCharType="separate"/>
      </w:r>
      <w:r>
        <w:rPr>
          <w:rFonts w:ascii="宋体" w:hAnsi="宋体" w:eastAsia="仿宋_GB2312" w:cs="宋体"/>
          <w:b/>
          <w:bCs/>
          <w:spacing w:val="6"/>
          <w:kern w:val="2"/>
          <w:sz w:val="28"/>
          <w:szCs w:val="24"/>
          <w:lang w:val="en-US" w:eastAsia="zh-CN" w:bidi="ar-SA"/>
        </w:rPr>
        <w:t>4</w:t>
      </w:r>
      <w:r>
        <w:rPr>
          <w:rFonts w:ascii="宋体" w:hAnsi="宋体" w:eastAsia="仿宋_GB2312" w:cs="宋体"/>
          <w:b/>
          <w:bCs/>
          <w:spacing w:val="6"/>
          <w:kern w:val="2"/>
          <w:sz w:val="28"/>
          <w:szCs w:val="24"/>
          <w:lang w:val="en-US" w:eastAsia="zh-CN" w:bidi="ar-SA"/>
        </w:rPr>
        <w:fldChar w:fldCharType="end"/>
      </w:r>
      <w:r>
        <w:rPr>
          <w:rFonts w:hint="eastAsia" w:ascii="宋体" w:hAnsi="宋体" w:eastAsia="仿宋_GB2312" w:cs="宋体"/>
          <w:b/>
          <w:bCs/>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292" w:firstLineChars="1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_Toc4915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第一节  基准地价更新成果</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_Toc4915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4</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292" w:firstLineChars="1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_Toc5871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第二节  基准地价修正体系</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_Toc5871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6</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_Toc26838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一、商服用地基准地价个别因素修正体系</w:t>
      </w:r>
      <w:r>
        <w:rPr>
          <w:rFonts w:ascii="宋体" w:hAnsi="宋体" w:eastAsia="仿宋_GB2312" w:cs="宋体"/>
          <w:b w:val="0"/>
          <w:bCs w:val="0"/>
          <w:spacing w:val="6"/>
          <w:kern w:val="2"/>
          <w:sz w:val="28"/>
          <w:szCs w:val="24"/>
          <w:lang w:val="en-US" w:eastAsia="zh-CN" w:bidi="ar-SA"/>
        </w:rPr>
        <w:tab/>
      </w:r>
      <w:r>
        <w:rPr>
          <w:rFonts w:ascii="宋体" w:hAnsi="宋体" w:eastAsia="仿宋_GB2312" w:cs="宋体"/>
          <w:b w:val="0"/>
          <w:bCs w:val="0"/>
          <w:spacing w:val="6"/>
          <w:kern w:val="2"/>
          <w:sz w:val="28"/>
          <w:szCs w:val="24"/>
          <w:lang w:val="en-US" w:eastAsia="zh-CN" w:bidi="ar-SA"/>
        </w:rPr>
        <w:fldChar w:fldCharType="begin"/>
      </w:r>
      <w:r>
        <w:rPr>
          <w:rFonts w:ascii="宋体" w:hAnsi="宋体" w:eastAsia="仿宋_GB2312" w:cs="宋体"/>
          <w:b w:val="0"/>
          <w:bCs w:val="0"/>
          <w:spacing w:val="6"/>
          <w:kern w:val="2"/>
          <w:sz w:val="28"/>
          <w:szCs w:val="24"/>
          <w:lang w:val="en-US" w:eastAsia="zh-CN" w:bidi="ar-SA"/>
        </w:rPr>
        <w:instrText xml:space="preserve"> PAGEREF _Toc26838 \h </w:instrText>
      </w:r>
      <w:r>
        <w:rPr>
          <w:rFonts w:ascii="宋体" w:hAnsi="宋体" w:eastAsia="仿宋_GB2312" w:cs="宋体"/>
          <w:b w:val="0"/>
          <w:bCs w:val="0"/>
          <w:spacing w:val="6"/>
          <w:kern w:val="2"/>
          <w:sz w:val="28"/>
          <w:szCs w:val="24"/>
          <w:lang w:val="en-US" w:eastAsia="zh-CN" w:bidi="ar-SA"/>
        </w:rPr>
        <w:fldChar w:fldCharType="separate"/>
      </w:r>
      <w:r>
        <w:rPr>
          <w:rFonts w:ascii="宋体" w:hAnsi="宋体" w:eastAsia="仿宋_GB2312" w:cs="宋体"/>
          <w:b w:val="0"/>
          <w:bCs w:val="0"/>
          <w:spacing w:val="6"/>
          <w:kern w:val="2"/>
          <w:sz w:val="28"/>
          <w:szCs w:val="24"/>
          <w:lang w:val="en-US" w:eastAsia="zh-CN" w:bidi="ar-SA"/>
        </w:rPr>
        <w:t>6</w:t>
      </w:r>
      <w:r>
        <w:rPr>
          <w:rFonts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_Toc1341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二、住宅用地基准地价个别因素修正体系</w:t>
      </w:r>
      <w:r>
        <w:rPr>
          <w:rFonts w:ascii="宋体" w:hAnsi="宋体" w:eastAsia="仿宋_GB2312" w:cs="宋体"/>
          <w:b w:val="0"/>
          <w:bCs w:val="0"/>
          <w:spacing w:val="6"/>
          <w:kern w:val="2"/>
          <w:sz w:val="28"/>
          <w:szCs w:val="24"/>
          <w:lang w:val="en-US" w:eastAsia="zh-CN" w:bidi="ar-SA"/>
        </w:rPr>
        <w:tab/>
      </w:r>
      <w:r>
        <w:rPr>
          <w:rFonts w:ascii="宋体" w:hAnsi="宋体" w:eastAsia="仿宋_GB2312" w:cs="宋体"/>
          <w:b w:val="0"/>
          <w:bCs w:val="0"/>
          <w:spacing w:val="6"/>
          <w:kern w:val="2"/>
          <w:sz w:val="28"/>
          <w:szCs w:val="24"/>
          <w:lang w:val="en-US" w:eastAsia="zh-CN" w:bidi="ar-SA"/>
        </w:rPr>
        <w:fldChar w:fldCharType="begin"/>
      </w:r>
      <w:r>
        <w:rPr>
          <w:rFonts w:ascii="宋体" w:hAnsi="宋体" w:eastAsia="仿宋_GB2312" w:cs="宋体"/>
          <w:b w:val="0"/>
          <w:bCs w:val="0"/>
          <w:spacing w:val="6"/>
          <w:kern w:val="2"/>
          <w:sz w:val="28"/>
          <w:szCs w:val="24"/>
          <w:lang w:val="en-US" w:eastAsia="zh-CN" w:bidi="ar-SA"/>
        </w:rPr>
        <w:instrText xml:space="preserve"> PAGEREF _Toc1341 \h </w:instrText>
      </w:r>
      <w:r>
        <w:rPr>
          <w:rFonts w:ascii="宋体" w:hAnsi="宋体" w:eastAsia="仿宋_GB2312" w:cs="宋体"/>
          <w:b w:val="0"/>
          <w:bCs w:val="0"/>
          <w:spacing w:val="6"/>
          <w:kern w:val="2"/>
          <w:sz w:val="28"/>
          <w:szCs w:val="24"/>
          <w:lang w:val="en-US" w:eastAsia="zh-CN" w:bidi="ar-SA"/>
        </w:rPr>
        <w:fldChar w:fldCharType="separate"/>
      </w:r>
      <w:r>
        <w:rPr>
          <w:rFonts w:ascii="宋体" w:hAnsi="宋体" w:eastAsia="仿宋_GB2312" w:cs="宋体"/>
          <w:b w:val="0"/>
          <w:bCs w:val="0"/>
          <w:spacing w:val="6"/>
          <w:kern w:val="2"/>
          <w:sz w:val="28"/>
          <w:szCs w:val="24"/>
          <w:lang w:val="en-US" w:eastAsia="zh-CN" w:bidi="ar-SA"/>
        </w:rPr>
        <w:t>11</w:t>
      </w:r>
      <w:r>
        <w:rPr>
          <w:rFonts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_Toc15715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三、工业用地基准地价个别因素修正体系</w:t>
      </w:r>
      <w:r>
        <w:rPr>
          <w:rFonts w:ascii="宋体" w:hAnsi="宋体" w:eastAsia="仿宋_GB2312" w:cs="宋体"/>
          <w:b w:val="0"/>
          <w:bCs w:val="0"/>
          <w:spacing w:val="6"/>
          <w:kern w:val="2"/>
          <w:sz w:val="28"/>
          <w:szCs w:val="24"/>
          <w:lang w:val="en-US" w:eastAsia="zh-CN" w:bidi="ar-SA"/>
        </w:rPr>
        <w:tab/>
      </w:r>
      <w:r>
        <w:rPr>
          <w:rFonts w:ascii="宋体" w:hAnsi="宋体" w:eastAsia="仿宋_GB2312" w:cs="宋体"/>
          <w:b w:val="0"/>
          <w:bCs w:val="0"/>
          <w:spacing w:val="6"/>
          <w:kern w:val="2"/>
          <w:sz w:val="28"/>
          <w:szCs w:val="24"/>
          <w:lang w:val="en-US" w:eastAsia="zh-CN" w:bidi="ar-SA"/>
        </w:rPr>
        <w:fldChar w:fldCharType="begin"/>
      </w:r>
      <w:r>
        <w:rPr>
          <w:rFonts w:ascii="宋体" w:hAnsi="宋体" w:eastAsia="仿宋_GB2312" w:cs="宋体"/>
          <w:b w:val="0"/>
          <w:bCs w:val="0"/>
          <w:spacing w:val="6"/>
          <w:kern w:val="2"/>
          <w:sz w:val="28"/>
          <w:szCs w:val="24"/>
          <w:lang w:val="en-US" w:eastAsia="zh-CN" w:bidi="ar-SA"/>
        </w:rPr>
        <w:instrText xml:space="preserve"> PAGEREF _Toc15715 \h </w:instrText>
      </w:r>
      <w:r>
        <w:rPr>
          <w:rFonts w:ascii="宋体" w:hAnsi="宋体" w:eastAsia="仿宋_GB2312" w:cs="宋体"/>
          <w:b w:val="0"/>
          <w:bCs w:val="0"/>
          <w:spacing w:val="6"/>
          <w:kern w:val="2"/>
          <w:sz w:val="28"/>
          <w:szCs w:val="24"/>
          <w:lang w:val="en-US" w:eastAsia="zh-CN" w:bidi="ar-SA"/>
        </w:rPr>
        <w:fldChar w:fldCharType="separate"/>
      </w:r>
      <w:r>
        <w:rPr>
          <w:rFonts w:ascii="宋体" w:hAnsi="宋体" w:eastAsia="仿宋_GB2312" w:cs="宋体"/>
          <w:b w:val="0"/>
          <w:bCs w:val="0"/>
          <w:spacing w:val="6"/>
          <w:kern w:val="2"/>
          <w:sz w:val="28"/>
          <w:szCs w:val="24"/>
          <w:lang w:val="en-US" w:eastAsia="zh-CN" w:bidi="ar-SA"/>
        </w:rPr>
        <w:t>15</w:t>
      </w:r>
      <w:r>
        <w:rPr>
          <w:rFonts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_Toc25047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四、修正系数表及因素指标说明表编制</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_Toc25047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17</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tabs>
          <w:tab w:val="right" w:leader="dot" w:pos="8306"/>
        </w:tabs>
        <w:ind w:left="0" w:leftChars="0" w:firstLine="0" w:firstLineChars="0"/>
        <w:rPr>
          <w:rFonts w:ascii="宋体" w:hAnsi="宋体" w:eastAsia="仿宋_GB2312" w:cs="宋体"/>
          <w:b/>
          <w:bCs/>
          <w:spacing w:val="6"/>
          <w:kern w:val="2"/>
          <w:sz w:val="28"/>
          <w:szCs w:val="24"/>
          <w:lang w:val="en-US" w:eastAsia="zh-CN" w:bidi="ar-SA"/>
        </w:rPr>
      </w:pPr>
      <w:r>
        <w:rPr>
          <w:rFonts w:hint="eastAsia" w:ascii="宋体" w:hAnsi="宋体" w:eastAsia="仿宋_GB2312" w:cs="宋体"/>
          <w:b/>
          <w:bCs/>
          <w:spacing w:val="6"/>
          <w:kern w:val="2"/>
          <w:sz w:val="28"/>
          <w:szCs w:val="24"/>
          <w:lang w:val="en-US" w:eastAsia="zh-CN" w:bidi="ar-SA"/>
        </w:rPr>
        <w:fldChar w:fldCharType="begin"/>
      </w:r>
      <w:r>
        <w:rPr>
          <w:rFonts w:hint="eastAsia" w:ascii="宋体" w:hAnsi="宋体" w:eastAsia="仿宋_GB2312" w:cs="宋体"/>
          <w:b/>
          <w:bCs/>
          <w:spacing w:val="6"/>
          <w:kern w:val="2"/>
          <w:sz w:val="28"/>
          <w:szCs w:val="24"/>
          <w:lang w:val="en-US" w:eastAsia="zh-CN" w:bidi="ar-SA"/>
        </w:rPr>
        <w:instrText xml:space="preserve"> HYPERLINK \l _Toc28406 </w:instrText>
      </w:r>
      <w:r>
        <w:rPr>
          <w:rFonts w:hint="eastAsia" w:ascii="宋体" w:hAnsi="宋体" w:eastAsia="仿宋_GB2312" w:cs="宋体"/>
          <w:b/>
          <w:bCs/>
          <w:spacing w:val="6"/>
          <w:kern w:val="2"/>
          <w:sz w:val="28"/>
          <w:szCs w:val="24"/>
          <w:lang w:val="en-US" w:eastAsia="zh-CN" w:bidi="ar-SA"/>
        </w:rPr>
        <w:fldChar w:fldCharType="separate"/>
      </w:r>
      <w:r>
        <w:rPr>
          <w:rFonts w:hint="eastAsia" w:ascii="宋体" w:hAnsi="宋体" w:eastAsia="仿宋_GB2312" w:cs="宋体"/>
          <w:b/>
          <w:bCs/>
          <w:spacing w:val="6"/>
          <w:kern w:val="2"/>
          <w:sz w:val="28"/>
          <w:szCs w:val="24"/>
          <w:lang w:val="en-US" w:eastAsia="zh-CN" w:bidi="ar-SA"/>
        </w:rPr>
        <w:t>第三章  成果对比分析</w:t>
      </w:r>
      <w:r>
        <w:rPr>
          <w:rFonts w:ascii="宋体" w:hAnsi="宋体" w:eastAsia="仿宋_GB2312" w:cs="宋体"/>
          <w:b/>
          <w:bCs/>
          <w:spacing w:val="6"/>
          <w:kern w:val="2"/>
          <w:sz w:val="28"/>
          <w:szCs w:val="24"/>
          <w:lang w:val="en-US" w:eastAsia="zh-CN" w:bidi="ar-SA"/>
        </w:rPr>
        <w:tab/>
      </w:r>
      <w:r>
        <w:rPr>
          <w:rFonts w:ascii="宋体" w:hAnsi="宋体" w:eastAsia="仿宋_GB2312" w:cs="宋体"/>
          <w:b/>
          <w:bCs/>
          <w:spacing w:val="6"/>
          <w:kern w:val="2"/>
          <w:sz w:val="28"/>
          <w:szCs w:val="24"/>
          <w:lang w:val="en-US" w:eastAsia="zh-CN" w:bidi="ar-SA"/>
        </w:rPr>
        <w:fldChar w:fldCharType="begin"/>
      </w:r>
      <w:r>
        <w:rPr>
          <w:rFonts w:ascii="宋体" w:hAnsi="宋体" w:eastAsia="仿宋_GB2312" w:cs="宋体"/>
          <w:b/>
          <w:bCs/>
          <w:spacing w:val="6"/>
          <w:kern w:val="2"/>
          <w:sz w:val="28"/>
          <w:szCs w:val="24"/>
          <w:lang w:val="en-US" w:eastAsia="zh-CN" w:bidi="ar-SA"/>
        </w:rPr>
        <w:instrText xml:space="preserve"> PAGEREF _Toc28406 \h </w:instrText>
      </w:r>
      <w:r>
        <w:rPr>
          <w:rFonts w:ascii="宋体" w:hAnsi="宋体" w:eastAsia="仿宋_GB2312" w:cs="宋体"/>
          <w:b/>
          <w:bCs/>
          <w:spacing w:val="6"/>
          <w:kern w:val="2"/>
          <w:sz w:val="28"/>
          <w:szCs w:val="24"/>
          <w:lang w:val="en-US" w:eastAsia="zh-CN" w:bidi="ar-SA"/>
        </w:rPr>
        <w:fldChar w:fldCharType="separate"/>
      </w:r>
      <w:r>
        <w:rPr>
          <w:rFonts w:ascii="宋体" w:hAnsi="宋体" w:eastAsia="仿宋_GB2312" w:cs="宋体"/>
          <w:b/>
          <w:bCs/>
          <w:spacing w:val="6"/>
          <w:kern w:val="2"/>
          <w:sz w:val="28"/>
          <w:szCs w:val="24"/>
          <w:lang w:val="en-US" w:eastAsia="zh-CN" w:bidi="ar-SA"/>
        </w:rPr>
        <w:t>28</w:t>
      </w:r>
      <w:r>
        <w:rPr>
          <w:rFonts w:ascii="宋体" w:hAnsi="宋体" w:eastAsia="仿宋_GB2312" w:cs="宋体"/>
          <w:b/>
          <w:bCs/>
          <w:spacing w:val="6"/>
          <w:kern w:val="2"/>
          <w:sz w:val="28"/>
          <w:szCs w:val="24"/>
          <w:lang w:val="en-US" w:eastAsia="zh-CN" w:bidi="ar-SA"/>
        </w:rPr>
        <w:fldChar w:fldCharType="end"/>
      </w:r>
      <w:r>
        <w:rPr>
          <w:rFonts w:hint="eastAsia" w:ascii="宋体" w:hAnsi="宋体" w:eastAsia="仿宋_GB2312" w:cs="宋体"/>
          <w:b/>
          <w:bCs/>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292" w:firstLineChars="1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_Toc29843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第一节  成果意义</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_Toc29843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28</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_Toc18299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一、是一项重要的基础工作</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_Toc18299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28</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_Toc9077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二、有利于宏观调控土地市场，指导地产交易</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_Toc9077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29</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_Toc20896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三、为公平合理地收取土地税费提供依据</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_Toc20896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29</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_Toc69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四、更好地促进土地管理工作的开展</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_Toc69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29</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_Toc2714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五、为建立土地资产台账提供基础</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_Toc2714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30</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292" w:firstLineChars="1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_Toc9157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第二节  成果的应用说明</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_Toc9157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30</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_Toc32502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一、土地定级成果的应用</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_Toc32502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30</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_Toc19389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二、基准地价成果的应用</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_Toc19389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31</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584" w:firstLineChars="200"/>
        <w:textAlignment w:val="auto"/>
        <w:rPr>
          <w:rFonts w:hint="eastAsia" w:ascii="宋体" w:hAnsi="宋体" w:eastAsia="仿宋_GB2312" w:cs="宋体"/>
          <w:b w:val="0"/>
          <w:bCs w:val="0"/>
          <w:spacing w:val="6"/>
          <w:kern w:val="2"/>
          <w:sz w:val="28"/>
          <w:szCs w:val="24"/>
          <w:lang w:val="en-US" w:eastAsia="zh-CN" w:bidi="ar-SA"/>
        </w:rPr>
      </w:pP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HYPERLINK \l _Toc4872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三、土地定级估价信息系统应用说明</w:t>
      </w:r>
      <w:r>
        <w:rPr>
          <w:rFonts w:hint="eastAsia" w:ascii="宋体" w:hAnsi="宋体" w:eastAsia="仿宋_GB2312" w:cs="宋体"/>
          <w:b w:val="0"/>
          <w:bCs w:val="0"/>
          <w:spacing w:val="6"/>
          <w:kern w:val="2"/>
          <w:sz w:val="28"/>
          <w:szCs w:val="24"/>
          <w:lang w:val="en-US" w:eastAsia="zh-CN" w:bidi="ar-SA"/>
        </w:rPr>
        <w:tab/>
      </w:r>
      <w:r>
        <w:rPr>
          <w:rFonts w:hint="eastAsia" w:ascii="宋体" w:hAnsi="宋体" w:eastAsia="仿宋_GB2312" w:cs="宋体"/>
          <w:b w:val="0"/>
          <w:bCs w:val="0"/>
          <w:spacing w:val="6"/>
          <w:kern w:val="2"/>
          <w:sz w:val="28"/>
          <w:szCs w:val="24"/>
          <w:lang w:val="en-US" w:eastAsia="zh-CN" w:bidi="ar-SA"/>
        </w:rPr>
        <w:fldChar w:fldCharType="begin"/>
      </w:r>
      <w:r>
        <w:rPr>
          <w:rFonts w:hint="eastAsia" w:ascii="宋体" w:hAnsi="宋体" w:eastAsia="仿宋_GB2312" w:cs="宋体"/>
          <w:b w:val="0"/>
          <w:bCs w:val="0"/>
          <w:spacing w:val="6"/>
          <w:kern w:val="2"/>
          <w:sz w:val="28"/>
          <w:szCs w:val="24"/>
          <w:lang w:val="en-US" w:eastAsia="zh-CN" w:bidi="ar-SA"/>
        </w:rPr>
        <w:instrText xml:space="preserve"> PAGEREF _Toc4872 \h </w:instrText>
      </w:r>
      <w:r>
        <w:rPr>
          <w:rFonts w:hint="eastAsia" w:ascii="宋体" w:hAnsi="宋体" w:eastAsia="仿宋_GB2312" w:cs="宋体"/>
          <w:b w:val="0"/>
          <w:bCs w:val="0"/>
          <w:spacing w:val="6"/>
          <w:kern w:val="2"/>
          <w:sz w:val="28"/>
          <w:szCs w:val="24"/>
          <w:lang w:val="en-US" w:eastAsia="zh-CN" w:bidi="ar-SA"/>
        </w:rPr>
        <w:fldChar w:fldCharType="separate"/>
      </w:r>
      <w:r>
        <w:rPr>
          <w:rFonts w:hint="eastAsia" w:ascii="宋体" w:hAnsi="宋体" w:eastAsia="仿宋_GB2312" w:cs="宋体"/>
          <w:b w:val="0"/>
          <w:bCs w:val="0"/>
          <w:spacing w:val="6"/>
          <w:kern w:val="2"/>
          <w:sz w:val="28"/>
          <w:szCs w:val="24"/>
          <w:lang w:val="en-US" w:eastAsia="zh-CN" w:bidi="ar-SA"/>
        </w:rPr>
        <w:t>35</w:t>
      </w:r>
      <w:r>
        <w:rPr>
          <w:rFonts w:hint="eastAsia" w:ascii="宋体" w:hAnsi="宋体" w:eastAsia="仿宋_GB2312" w:cs="宋体"/>
          <w:b w:val="0"/>
          <w:bCs w:val="0"/>
          <w:spacing w:val="6"/>
          <w:kern w:val="2"/>
          <w:sz w:val="28"/>
          <w:szCs w:val="24"/>
          <w:lang w:val="en-US" w:eastAsia="zh-CN" w:bidi="ar-SA"/>
        </w:rPr>
        <w:fldChar w:fldCharType="end"/>
      </w:r>
      <w:r>
        <w:rPr>
          <w:rFonts w:hint="eastAsia" w:ascii="宋体" w:hAnsi="宋体" w:eastAsia="仿宋_GB2312" w:cs="宋体"/>
          <w:b w:val="0"/>
          <w:bCs w:val="0"/>
          <w:spacing w:val="6"/>
          <w:kern w:val="2"/>
          <w:sz w:val="28"/>
          <w:szCs w:val="24"/>
          <w:lang w:val="en-US" w:eastAsia="zh-CN" w:bidi="ar-SA"/>
        </w:rPr>
        <w:fldChar w:fldCharType="end"/>
      </w:r>
    </w:p>
    <w:p>
      <w:pPr>
        <w:pStyle w:val="12"/>
        <w:tabs>
          <w:tab w:val="right" w:leader="dot" w:pos="8306"/>
        </w:tabs>
        <w:ind w:left="0" w:leftChars="0" w:firstLine="0" w:firstLineChars="0"/>
        <w:rPr>
          <w:rFonts w:hint="eastAsia" w:ascii="仿宋_GB2312" w:hAnsi="仿宋_GB2312" w:eastAsia="仿宋_GB2312" w:cs="仿宋_GB2312"/>
          <w:sz w:val="36"/>
          <w:szCs w:val="36"/>
        </w:rPr>
        <w:sectPr>
          <w:footerReference r:id="rId11" w:type="default"/>
          <w:pgSz w:w="11906" w:h="16838"/>
          <w:pgMar w:top="1440" w:right="1800" w:bottom="1440" w:left="1800" w:header="851" w:footer="992" w:gutter="0"/>
          <w:pgNumType w:start="1"/>
          <w:cols w:space="0" w:num="1"/>
          <w:rtlGutter w:val="0"/>
          <w:docGrid w:type="lines" w:linePitch="312" w:charSpace="0"/>
        </w:sectPr>
      </w:pPr>
      <w:r>
        <w:rPr>
          <w:rFonts w:hint="eastAsia" w:ascii="宋体" w:hAnsi="宋体" w:eastAsia="仿宋_GB2312" w:cs="宋体"/>
          <w:b/>
          <w:bCs/>
          <w:spacing w:val="6"/>
          <w:kern w:val="2"/>
          <w:sz w:val="28"/>
          <w:szCs w:val="24"/>
          <w:lang w:val="en-US" w:eastAsia="zh-CN" w:bidi="ar-SA"/>
        </w:rPr>
        <w:fldChar w:fldCharType="end"/>
      </w:r>
    </w:p>
    <w:p>
      <w:pPr>
        <w:pStyle w:val="3"/>
        <w:bidi w:val="0"/>
        <w:rPr>
          <w:rFonts w:hint="eastAsia" w:ascii="仿宋_GB2312" w:hAnsi="仿宋_GB2312" w:eastAsia="仿宋_GB2312" w:cs="仿宋_GB2312"/>
        </w:rPr>
      </w:pPr>
      <w:bookmarkStart w:id="0" w:name="_Toc5735"/>
      <w:bookmarkStart w:id="1" w:name="_Toc1284"/>
      <w:bookmarkStart w:id="2" w:name="_Toc24652"/>
      <w:bookmarkStart w:id="3" w:name="_Toc24777"/>
      <w:bookmarkStart w:id="4" w:name="_Toc19660"/>
      <w:bookmarkStart w:id="5" w:name="_Toc17415"/>
      <w:r>
        <w:rPr>
          <w:rFonts w:hint="eastAsia" w:ascii="仿宋_GB2312" w:hAnsi="仿宋_GB2312" w:eastAsia="仿宋_GB2312" w:cs="仿宋_GB2312"/>
        </w:rPr>
        <w:t>第一章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白脑包镇土地定级与基准地价更新技术路线</w:t>
      </w:r>
      <w:bookmarkEnd w:id="0"/>
      <w:bookmarkEnd w:id="1"/>
      <w:bookmarkEnd w:id="2"/>
      <w:bookmarkEnd w:id="3"/>
      <w:bookmarkEnd w:id="4"/>
      <w:bookmarkEnd w:id="5"/>
    </w:p>
    <w:p>
      <w:pPr>
        <w:pStyle w:val="4"/>
        <w:bidi w:val="0"/>
        <w:rPr>
          <w:rFonts w:hint="eastAsia" w:ascii="仿宋_GB2312" w:hAnsi="仿宋_GB2312" w:eastAsia="仿宋_GB2312" w:cs="仿宋_GB2312"/>
        </w:rPr>
      </w:pPr>
      <w:bookmarkStart w:id="6" w:name="_Toc4801"/>
      <w:bookmarkStart w:id="7" w:name="_Toc19069"/>
      <w:bookmarkStart w:id="8" w:name="_Toc26163"/>
      <w:bookmarkStart w:id="9" w:name="_Toc18637"/>
      <w:bookmarkStart w:id="10" w:name="_Toc24442"/>
      <w:bookmarkStart w:id="11" w:name="_Toc24788"/>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土地定级的技术路线</w:t>
      </w:r>
      <w:bookmarkEnd w:id="6"/>
      <w:bookmarkEnd w:id="7"/>
      <w:bookmarkEnd w:id="8"/>
      <w:bookmarkEnd w:id="9"/>
      <w:bookmarkEnd w:id="10"/>
      <w:bookmarkEnd w:id="11"/>
    </w:p>
    <w:p>
      <w:pPr>
        <w:bidi w:val="0"/>
        <w:rPr>
          <w:rFonts w:hint="eastAsia" w:ascii="仿宋_GB2312" w:hAnsi="仿宋_GB2312" w:eastAsia="仿宋_GB2312" w:cs="仿宋_GB2312"/>
        </w:rPr>
      </w:pPr>
      <w:r>
        <w:rPr>
          <w:rFonts w:hint="eastAsia" w:ascii="仿宋_GB2312" w:hAnsi="仿宋_GB2312" w:eastAsia="仿宋_GB2312" w:cs="仿宋_GB2312"/>
        </w:rPr>
        <w:t>土地定级的技术路线采用“以网格为基本定级单元，多因素综合评定法确定单元作用总分值，根据模糊聚类原理，采用总分频率确定土地级别分值界限，依次划分土地级别，并将土地级别落实到以规划道路等自然地物为边界的应用评价单元上，利用市场交易样点地价进行校核”的技术路线，进行商服、住宅和工业用地的分类定级。形成白脑包镇的商服、住宅、工业用地、公服用地级别图共7张。住宅用地2个级别，工业用地2个级别。白脑包镇土地定级基础资料见表1-1。</w:t>
      </w:r>
    </w:p>
    <w:p>
      <w:pPr>
        <w:bidi w:val="0"/>
        <w:rPr>
          <w:rFonts w:hint="eastAsia" w:ascii="仿宋_GB2312" w:hAnsi="仿宋_GB2312" w:eastAsia="仿宋_GB2312" w:cs="仿宋_GB2312"/>
        </w:rPr>
        <w:sectPr>
          <w:headerReference r:id="rId12" w:type="default"/>
          <w:footerReference r:id="rId13" w:type="default"/>
          <w:pgSz w:w="11906" w:h="16838"/>
          <w:pgMar w:top="1440" w:right="1800" w:bottom="1440" w:left="1800" w:header="851" w:footer="992" w:gutter="0"/>
          <w:pgNumType w:fmt="decimal" w:start="1"/>
          <w:cols w:space="0" w:num="1"/>
          <w:rtlGutter w:val="0"/>
          <w:docGrid w:type="lines" w:linePitch="312" w:charSpace="0"/>
        </w:sectPr>
      </w:pPr>
    </w:p>
    <w:p>
      <w:pPr>
        <w:pStyle w:val="21"/>
        <w:bidi w:val="0"/>
        <w:rPr>
          <w:rFonts w:hint="eastAsia"/>
        </w:rPr>
      </w:pPr>
      <w:r>
        <w:rPr>
          <w:rFonts w:hint="eastAsia"/>
        </w:rPr>
        <w:t>表1-1  定级资料汇总表</w:t>
      </w:r>
    </w:p>
    <w:tbl>
      <w:tblPr>
        <w:tblStyle w:val="14"/>
        <w:tblW w:w="832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404"/>
        <w:gridCol w:w="1197"/>
        <w:gridCol w:w="2280"/>
        <w:gridCol w:w="44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197" w:type="dxa"/>
            <w:noWrap/>
            <w:vAlign w:val="center"/>
          </w:tcPr>
          <w:p>
            <w:pPr>
              <w:spacing w:line="240" w:lineRule="auto"/>
              <w:ind w:firstLine="0" w:firstLineChars="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因子名称</w:t>
            </w:r>
          </w:p>
        </w:tc>
        <w:tc>
          <w:tcPr>
            <w:tcW w:w="2280" w:type="dxa"/>
            <w:noWrap/>
            <w:vAlign w:val="center"/>
          </w:tcPr>
          <w:p>
            <w:pPr>
              <w:spacing w:line="240" w:lineRule="auto"/>
              <w:ind w:firstLine="0" w:firstLineChars="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图形数据</w:t>
            </w:r>
          </w:p>
        </w:tc>
        <w:tc>
          <w:tcPr>
            <w:tcW w:w="4440" w:type="dxa"/>
            <w:noWrap/>
            <w:vAlign w:val="center"/>
          </w:tcPr>
          <w:p>
            <w:pPr>
              <w:spacing w:line="240" w:lineRule="auto"/>
              <w:ind w:firstLine="0" w:firstLineChars="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属性数据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197"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228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白脑包镇地形图</w:t>
            </w:r>
          </w:p>
        </w:tc>
        <w:tc>
          <w:tcPr>
            <w:tcW w:w="444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名称、位置、占地面积、营业面积、商服网点数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97"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228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白脑包镇路网图</w:t>
            </w:r>
          </w:p>
        </w:tc>
        <w:tc>
          <w:tcPr>
            <w:tcW w:w="444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名称、宽度、长度、车流量、性质（主干道、次干道、支路）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97"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供水状况</w:t>
            </w:r>
          </w:p>
        </w:tc>
        <w:tc>
          <w:tcPr>
            <w:tcW w:w="228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白脑包镇给水工程规划图</w:t>
            </w:r>
          </w:p>
        </w:tc>
        <w:tc>
          <w:tcPr>
            <w:tcW w:w="444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97"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排水状况</w:t>
            </w:r>
          </w:p>
        </w:tc>
        <w:tc>
          <w:tcPr>
            <w:tcW w:w="228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白脑包镇排水工程规划图</w:t>
            </w:r>
          </w:p>
        </w:tc>
        <w:tc>
          <w:tcPr>
            <w:tcW w:w="444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197"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2280" w:type="dxa"/>
            <w:noWrap/>
            <w:vAlign w:val="center"/>
          </w:tcPr>
          <w:p>
            <w:pPr>
              <w:spacing w:line="240" w:lineRule="auto"/>
              <w:ind w:left="29" w:leftChars="10" w:right="29" w:rightChars="1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白脑包镇中小学分布图、学校调查表</w:t>
            </w:r>
          </w:p>
        </w:tc>
        <w:tc>
          <w:tcPr>
            <w:tcW w:w="4440" w:type="dxa"/>
            <w:noWrap/>
            <w:vAlign w:val="center"/>
          </w:tcPr>
          <w:p>
            <w:pPr>
              <w:spacing w:beforeLines="15" w:line="240" w:lineRule="auto"/>
              <w:ind w:left="29" w:leftChars="10" w:right="29" w:rightChars="1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名称、位置、数量、占地面积、建筑面积（㎡）、在校人数（人）、教师人数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197"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228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白脑包镇近期建设规划图、医院调查表</w:t>
            </w:r>
          </w:p>
        </w:tc>
        <w:tc>
          <w:tcPr>
            <w:tcW w:w="444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名称、位置、占地面积、建筑面积、病床数、医护人员数量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197"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2280" w:type="dxa"/>
            <w:noWrap/>
            <w:vAlign w:val="center"/>
          </w:tcPr>
          <w:p>
            <w:pPr>
              <w:spacing w:beforeLines="15" w:line="240" w:lineRule="auto"/>
              <w:ind w:left="29" w:leftChars="10" w:right="29" w:rightChars="1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白脑包镇现状图</w:t>
            </w:r>
          </w:p>
        </w:tc>
        <w:tc>
          <w:tcPr>
            <w:tcW w:w="4440" w:type="dxa"/>
            <w:noWrap/>
            <w:vAlign w:val="center"/>
          </w:tcPr>
          <w:p>
            <w:pPr>
              <w:spacing w:line="240" w:lineRule="auto"/>
              <w:ind w:left="29" w:leftChars="10" w:right="29" w:rightChars="1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名称、位置、数量、占地面积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197"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228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白脑包镇近期建设规划图、银行调查表</w:t>
            </w:r>
          </w:p>
        </w:tc>
        <w:tc>
          <w:tcPr>
            <w:tcW w:w="4440" w:type="dxa"/>
            <w:noWrap/>
            <w:vAlign w:val="center"/>
          </w:tcPr>
          <w:p>
            <w:pPr>
              <w:spacing w:line="240" w:lineRule="auto"/>
              <w:ind w:firstLine="0" w:firstLineChars="0"/>
              <w:rPr>
                <w:rFonts w:hint="eastAsia" w:ascii="仿宋_GB2312" w:hAnsi="仿宋_GB2312" w:eastAsia="仿宋_GB2312" w:cs="仿宋_GB2312"/>
                <w:spacing w:val="-8"/>
                <w:sz w:val="21"/>
                <w:szCs w:val="21"/>
              </w:rPr>
            </w:pPr>
            <w:r>
              <w:rPr>
                <w:rFonts w:hint="eastAsia" w:ascii="仿宋_GB2312" w:hAnsi="仿宋_GB2312" w:eastAsia="仿宋_GB2312" w:cs="仿宋_GB2312"/>
                <w:sz w:val="21"/>
                <w:szCs w:val="21"/>
              </w:rPr>
              <w:t>名称、占地面积、建筑面积（㎡）、储蓄金额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197"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产业集聚状况</w:t>
            </w:r>
          </w:p>
        </w:tc>
        <w:tc>
          <w:tcPr>
            <w:tcW w:w="228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白脑包镇地形图、白脑包镇驻地总体规划图</w:t>
            </w:r>
          </w:p>
        </w:tc>
        <w:tc>
          <w:tcPr>
            <w:tcW w:w="444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等级（大、中、小型工业区和工业点）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197"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228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白脑包镇道路交通规划图、白脑包镇用地规划图</w:t>
            </w:r>
          </w:p>
        </w:tc>
        <w:tc>
          <w:tcPr>
            <w:tcW w:w="444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名称、路宽、建成状况、长度、性质（主干道、次干道、支路）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04"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1197"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228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白脑包镇驻地总体规划图</w:t>
            </w:r>
          </w:p>
        </w:tc>
        <w:tc>
          <w:tcPr>
            <w:tcW w:w="4440"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面积、规划地类（商服、住宅、工业、市政、文教、卫生等）</w:t>
            </w:r>
          </w:p>
        </w:tc>
      </w:tr>
    </w:tbl>
    <w:p>
      <w:pPr>
        <w:pStyle w:val="4"/>
        <w:bidi w:val="0"/>
        <w:rPr>
          <w:rFonts w:hint="eastAsia" w:ascii="仿宋_GB2312" w:hAnsi="仿宋_GB2312" w:eastAsia="仿宋_GB2312" w:cs="仿宋_GB2312"/>
        </w:rPr>
      </w:pPr>
      <w:bookmarkStart w:id="12" w:name="_Toc7317"/>
      <w:bookmarkStart w:id="13" w:name="_Toc14265"/>
      <w:bookmarkStart w:id="14" w:name="_Toc14984"/>
      <w:bookmarkStart w:id="15" w:name="_Toc26699"/>
      <w:bookmarkStart w:id="16" w:name="_Toc29676"/>
      <w:bookmarkStart w:id="17" w:name="_Toc718"/>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基准地价评估的技术路线</w:t>
      </w:r>
      <w:bookmarkEnd w:id="12"/>
      <w:bookmarkEnd w:id="13"/>
      <w:bookmarkEnd w:id="14"/>
      <w:bookmarkEnd w:id="15"/>
      <w:bookmarkEnd w:id="16"/>
      <w:bookmarkEnd w:id="17"/>
    </w:p>
    <w:p>
      <w:pPr>
        <w:bidi w:val="0"/>
        <w:rPr>
          <w:rFonts w:hint="eastAsia" w:ascii="仿宋_GB2312" w:hAnsi="仿宋_GB2312" w:eastAsia="仿宋_GB2312" w:cs="仿宋_GB2312"/>
        </w:rPr>
      </w:pPr>
      <w:r>
        <w:rPr>
          <w:rFonts w:hint="eastAsia" w:ascii="仿宋_GB2312" w:hAnsi="仿宋_GB2312" w:eastAsia="仿宋_GB2312" w:cs="仿宋_GB2312"/>
        </w:rPr>
        <w:t>临河区白脑包镇土地的基准地价评估，采取“以土地定级为基础，用市场交易价格等资料分商服、住宅和工业用地评估基准地价，以级控价，以价验级”的技术路线；“用均值-方差法评估级别基准地价”、“建立样点地价和土地级别的模型评估级别基准地价”和“用样点地价与样点定级因素总分值建立数学模型评估级别基准地价”这三种方法综合确定基准地价。白脑包镇样点资料及相关基础资料见表1-2至表1-5。</w:t>
      </w:r>
    </w:p>
    <w:p>
      <w:pPr>
        <w:pStyle w:val="21"/>
        <w:bidi w:val="0"/>
        <w:rPr>
          <w:rFonts w:hint="eastAsia"/>
        </w:rPr>
      </w:pPr>
      <w:r>
        <w:rPr>
          <w:rFonts w:hint="eastAsia"/>
        </w:rPr>
        <w:t>表1-2临河区白脑包镇样点资料分类统计表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9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98" w:type="pct"/>
            <w:tcBorders>
              <w:top w:val="double" w:color="auto" w:sz="4" w:space="0"/>
              <w:left w:val="doub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样点类型</w:t>
            </w:r>
          </w:p>
        </w:tc>
        <w:tc>
          <w:tcPr>
            <w:tcW w:w="1816" w:type="pct"/>
            <w:tcBorders>
              <w:top w:val="doub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样点数（个）</w:t>
            </w:r>
          </w:p>
        </w:tc>
        <w:tc>
          <w:tcPr>
            <w:tcW w:w="1384" w:type="pct"/>
            <w:tcBorders>
              <w:top w:val="double" w:color="auto" w:sz="4" w:space="0"/>
              <w:right w:val="doub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有效样点（个）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8" w:type="pct"/>
            <w:tcBorders>
              <w:lef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98" w:type="pct"/>
            <w:tcBorders>
              <w:lef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98" w:type="pct"/>
            <w:tcBorders>
              <w:lef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98" w:type="pct"/>
            <w:tcBorders>
              <w:left w:val="double" w:color="auto" w:sz="4" w:space="0"/>
              <w:bottom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总计</w:t>
            </w:r>
          </w:p>
        </w:tc>
        <w:tc>
          <w:tcPr>
            <w:tcW w:w="1816" w:type="pct"/>
            <w:tcBorders>
              <w:bottom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32</w:t>
            </w:r>
          </w:p>
        </w:tc>
        <w:tc>
          <w:tcPr>
            <w:tcW w:w="1384" w:type="pct"/>
            <w:tcBorders>
              <w:bottom w:val="double" w:color="auto" w:sz="4" w:space="0"/>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28</w:t>
            </w:r>
          </w:p>
        </w:tc>
      </w:tr>
    </w:tbl>
    <w:p>
      <w:pPr>
        <w:pStyle w:val="21"/>
        <w:bidi w:val="0"/>
        <w:rPr>
          <w:rFonts w:hint="eastAsia"/>
        </w:rPr>
      </w:pPr>
      <w:r>
        <w:rPr>
          <w:rFonts w:hint="eastAsia"/>
        </w:rPr>
        <w:t>表1-3 临河区白脑包镇房屋重置价、残值率、耐用年限标准表</w:t>
      </w:r>
    </w:p>
    <w:tbl>
      <w:tblPr>
        <w:tblStyle w:val="14"/>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39"/>
        <w:gridCol w:w="2334"/>
        <w:gridCol w:w="1946"/>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top w:val="double" w:color="auto" w:sz="4" w:space="0"/>
              <w:left w:val="double" w:color="auto" w:sz="4" w:space="0"/>
              <w:tl2br w:val="single" w:color="auto" w:sz="4" w:space="0"/>
            </w:tcBorders>
            <w:noWrap/>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参数类别</w:t>
            </w:r>
          </w:p>
          <w:p>
            <w:pPr>
              <w:pStyle w:val="20"/>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房屋结构</w:t>
            </w:r>
          </w:p>
        </w:tc>
        <w:tc>
          <w:tcPr>
            <w:tcW w:w="1348" w:type="pct"/>
            <w:tcBorders>
              <w:top w:val="double" w:color="auto" w:sz="4" w:space="0"/>
            </w:tcBorders>
            <w:noWrap/>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重置价（元/平方米）</w:t>
            </w:r>
          </w:p>
        </w:tc>
        <w:tc>
          <w:tcPr>
            <w:tcW w:w="1137" w:type="pct"/>
            <w:tcBorders>
              <w:top w:val="double" w:color="auto" w:sz="4" w:space="0"/>
            </w:tcBorders>
            <w:noWrap/>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残值率（%）</w:t>
            </w:r>
          </w:p>
        </w:tc>
        <w:tc>
          <w:tcPr>
            <w:tcW w:w="1143" w:type="pct"/>
            <w:tcBorders>
              <w:top w:val="double" w:color="auto" w:sz="4" w:space="0"/>
              <w:right w:val="double" w:color="auto" w:sz="4" w:space="0"/>
            </w:tcBorders>
            <w:noWrap/>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耐用年限（年）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钢混一等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1450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钢混二等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1180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砖混结构一等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960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砖混结构二等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840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砖混结构三等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砖木结构一等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砖木结构二等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砖木结构三等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土木结构一等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490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土木结构二等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430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土木结构三等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简易结构</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restart"/>
            <w:tcBorders>
              <w:lef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库房</w:t>
            </w:r>
          </w:p>
        </w:tc>
        <w:tc>
          <w:tcPr>
            <w:tcW w:w="95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砖混结构一等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715</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continue"/>
            <w:tcBorders>
              <w:left w:val="double" w:color="auto" w:sz="4" w:space="0"/>
            </w:tcBorders>
            <w:noWrap/>
            <w:vAlign w:val="center"/>
          </w:tcPr>
          <w:p>
            <w:pPr>
              <w:pStyle w:val="20"/>
              <w:rPr>
                <w:rFonts w:hint="eastAsia" w:ascii="仿宋_GB2312" w:hAnsi="仿宋_GB2312" w:eastAsia="仿宋_GB2312" w:cs="仿宋_GB2312"/>
                <w:sz w:val="21"/>
                <w:szCs w:val="21"/>
              </w:rPr>
            </w:pPr>
          </w:p>
        </w:tc>
        <w:tc>
          <w:tcPr>
            <w:tcW w:w="95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砖混结构二等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625</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continue"/>
            <w:tcBorders>
              <w:left w:val="double" w:color="auto" w:sz="4" w:space="0"/>
            </w:tcBorders>
            <w:noWrap/>
            <w:vAlign w:val="center"/>
          </w:tcPr>
          <w:p>
            <w:pPr>
              <w:pStyle w:val="20"/>
              <w:rPr>
                <w:rFonts w:hint="eastAsia" w:ascii="仿宋_GB2312" w:hAnsi="仿宋_GB2312" w:eastAsia="仿宋_GB2312" w:cs="仿宋_GB2312"/>
                <w:sz w:val="21"/>
                <w:szCs w:val="21"/>
              </w:rPr>
            </w:pPr>
          </w:p>
        </w:tc>
        <w:tc>
          <w:tcPr>
            <w:tcW w:w="95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砖木结构一等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515</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continue"/>
            <w:tcBorders>
              <w:left w:val="double" w:color="auto" w:sz="4" w:space="0"/>
            </w:tcBorders>
            <w:noWrap/>
            <w:vAlign w:val="center"/>
          </w:tcPr>
          <w:p>
            <w:pPr>
              <w:pStyle w:val="20"/>
              <w:rPr>
                <w:rFonts w:hint="eastAsia" w:ascii="仿宋_GB2312" w:hAnsi="仿宋_GB2312" w:eastAsia="仿宋_GB2312" w:cs="仿宋_GB2312"/>
                <w:sz w:val="21"/>
                <w:szCs w:val="21"/>
              </w:rPr>
            </w:pPr>
          </w:p>
        </w:tc>
        <w:tc>
          <w:tcPr>
            <w:tcW w:w="95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砖木结构二等</w:t>
            </w:r>
          </w:p>
        </w:tc>
        <w:tc>
          <w:tcPr>
            <w:tcW w:w="1348"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310</w:t>
            </w:r>
          </w:p>
        </w:tc>
        <w:tc>
          <w:tcPr>
            <w:tcW w:w="1137" w:type="pct"/>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43" w:type="pct"/>
            <w:tcBorders>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continue"/>
            <w:tcBorders>
              <w:left w:val="double" w:color="auto" w:sz="4" w:space="0"/>
              <w:bottom w:val="double" w:color="auto" w:sz="4" w:space="0"/>
            </w:tcBorders>
            <w:noWrap/>
            <w:vAlign w:val="center"/>
          </w:tcPr>
          <w:p>
            <w:pPr>
              <w:pStyle w:val="20"/>
              <w:rPr>
                <w:rFonts w:hint="eastAsia" w:ascii="仿宋_GB2312" w:hAnsi="仿宋_GB2312" w:eastAsia="仿宋_GB2312" w:cs="仿宋_GB2312"/>
                <w:sz w:val="21"/>
                <w:szCs w:val="21"/>
              </w:rPr>
            </w:pPr>
          </w:p>
        </w:tc>
        <w:tc>
          <w:tcPr>
            <w:tcW w:w="958" w:type="pct"/>
            <w:tcBorders>
              <w:bottom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w:t>
            </w:r>
          </w:p>
        </w:tc>
        <w:tc>
          <w:tcPr>
            <w:tcW w:w="1348" w:type="pct"/>
            <w:tcBorders>
              <w:bottom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w:t>
            </w:r>
          </w:p>
        </w:tc>
        <w:tc>
          <w:tcPr>
            <w:tcW w:w="1137" w:type="pct"/>
            <w:tcBorders>
              <w:bottom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bottom w:val="double" w:color="auto" w:sz="4" w:space="0"/>
              <w:right w:val="double" w:color="auto" w:sz="4" w:space="0"/>
            </w:tcBorders>
            <w:noWrap/>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r>
    </w:tbl>
    <w:p>
      <w:pPr>
        <w:spacing w:line="500" w:lineRule="exact"/>
        <w:ind w:firstLine="446"/>
        <w:jc w:val="center"/>
        <w:rPr>
          <w:rFonts w:hint="eastAsia" w:ascii="仿宋_GB2312" w:hAnsi="仿宋_GB2312" w:eastAsia="仿宋_GB2312" w:cs="仿宋_GB2312"/>
          <w:b/>
          <w:bCs/>
          <w:szCs w:val="21"/>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表1-4临河区白脑包镇房屋交易税费征收标准表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67"/>
        <w:gridCol w:w="2119"/>
        <w:gridCol w:w="2910"/>
        <w:gridCol w:w="16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338"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r>
              <w:rPr>
                <w:rFonts w:hint="eastAsia" w:ascii="仿宋_GB2312" w:hAnsi="仿宋_GB2312" w:eastAsia="仿宋_GB2312" w:cs="仿宋_GB2312"/>
                <w:b/>
                <w:sz w:val="21"/>
                <w:szCs w:val="21"/>
              </w:rPr>
              <w:t>项目</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税率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出租不动产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（租赁价格）</w:t>
            </w: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商服5% 住宅1.5%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商服0.60%</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住宅0.18%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3-15元/m2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商服12% 住宅4%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（销售价格）</w:t>
            </w: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3-15元/m2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1.2%</w:t>
            </w:r>
          </w:p>
        </w:tc>
      </w:tr>
    </w:tbl>
    <w:p>
      <w:pPr>
        <w:pStyle w:val="21"/>
        <w:bidi w:val="0"/>
        <w:rPr>
          <w:rFonts w:hint="eastAsia"/>
        </w:rPr>
      </w:pPr>
      <w:r>
        <w:rPr>
          <w:rFonts w:hint="eastAsia"/>
        </w:rPr>
        <w:t>表1-5   还原利率计算结果表</w:t>
      </w:r>
    </w:p>
    <w:tbl>
      <w:tblPr>
        <w:tblStyle w:val="14"/>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46"/>
        <w:gridCol w:w="728"/>
        <w:gridCol w:w="907"/>
        <w:gridCol w:w="1031"/>
        <w:gridCol w:w="912"/>
        <w:gridCol w:w="982"/>
        <w:gridCol w:w="897"/>
        <w:gridCol w:w="1047"/>
        <w:gridCol w:w="9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14" w:type="pct"/>
            <w:tcBorders>
              <w:top w:val="double" w:color="auto" w:sz="4" w:space="0"/>
              <w:left w:val="double" w:color="auto" w:sz="4" w:space="0"/>
              <w:bottom w:val="single" w:color="auto" w:sz="4" w:space="0"/>
              <w:right w:val="single" w:color="auto" w:sz="4" w:space="0"/>
            </w:tcBorders>
            <w:vAlign w:val="center"/>
          </w:tcPr>
          <w:p>
            <w:pPr>
              <w:pStyle w:val="20"/>
              <w:rPr>
                <w:rFonts w:hint="eastAsia" w:ascii="仿宋_GB2312" w:hAnsi="仿宋_GB2312" w:eastAsia="仿宋_GB2312" w:cs="仿宋_GB2312"/>
                <w:b/>
                <w:bCs/>
                <w:sz w:val="21"/>
                <w:szCs w:val="21"/>
              </w:rPr>
            </w:pPr>
            <w:bookmarkStart w:id="18" w:name="_Toc32253"/>
            <w:bookmarkStart w:id="19" w:name="_Toc3326"/>
            <w:bookmarkStart w:id="20" w:name="_Toc19531"/>
            <w:bookmarkStart w:id="21" w:name="_Toc22621"/>
            <w:bookmarkStart w:id="22" w:name="_Toc6023"/>
            <w:bookmarkStart w:id="23" w:name="_Toc446580297"/>
            <w:r>
              <w:rPr>
                <w:rFonts w:hint="eastAsia" w:ascii="仿宋_GB2312" w:hAnsi="仿宋_GB2312" w:eastAsia="仿宋_GB2312" w:cs="仿宋_GB2312"/>
                <w:b/>
                <w:bCs/>
                <w:sz w:val="21"/>
                <w:szCs w:val="21"/>
              </w:rPr>
              <w:t>用地</w:t>
            </w:r>
          </w:p>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类型</w:t>
            </w:r>
          </w:p>
        </w:tc>
        <w:tc>
          <w:tcPr>
            <w:tcW w:w="1564" w:type="pct"/>
            <w:gridSpan w:val="3"/>
            <w:tcBorders>
              <w:top w:val="double" w:color="auto" w:sz="4" w:space="0"/>
              <w:left w:val="single" w:color="auto" w:sz="4" w:space="0"/>
              <w:bottom w:val="single" w:color="auto" w:sz="4" w:space="0"/>
              <w:right w:val="sing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商服用地（%）</w:t>
            </w:r>
          </w:p>
        </w:tc>
        <w:tc>
          <w:tcPr>
            <w:tcW w:w="1637" w:type="pct"/>
            <w:gridSpan w:val="3"/>
            <w:tcBorders>
              <w:top w:val="double" w:color="auto" w:sz="4" w:space="0"/>
              <w:left w:val="single" w:color="auto" w:sz="4" w:space="0"/>
              <w:bottom w:val="single" w:color="auto" w:sz="4" w:space="0"/>
              <w:right w:val="sing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住宅用地（%）</w:t>
            </w:r>
          </w:p>
        </w:tc>
        <w:tc>
          <w:tcPr>
            <w:tcW w:w="1183" w:type="pct"/>
            <w:gridSpan w:val="2"/>
            <w:tcBorders>
              <w:top w:val="double" w:color="auto" w:sz="4" w:space="0"/>
              <w:left w:val="single" w:color="auto" w:sz="4" w:space="0"/>
              <w:bottom w:val="single" w:color="auto" w:sz="4" w:space="0"/>
              <w:right w:val="doub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工业用地（%）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14" w:type="pct"/>
            <w:tcBorders>
              <w:top w:val="single" w:color="auto" w:sz="4" w:space="0"/>
              <w:left w:val="double" w:color="auto" w:sz="4" w:space="0"/>
              <w:bottom w:val="sing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利率</w:t>
            </w:r>
          </w:p>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类型</w:t>
            </w:r>
          </w:p>
        </w:tc>
        <w:tc>
          <w:tcPr>
            <w:tcW w:w="427" w:type="pct"/>
            <w:tcBorders>
              <w:top w:val="single" w:color="auto" w:sz="4" w:space="0"/>
              <w:left w:val="single" w:color="auto" w:sz="4" w:space="0"/>
              <w:bottom w:val="sing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土地还原利率</w:t>
            </w:r>
          </w:p>
        </w:tc>
        <w:tc>
          <w:tcPr>
            <w:tcW w:w="532" w:type="pct"/>
            <w:tcBorders>
              <w:top w:val="single" w:color="auto" w:sz="4" w:space="0"/>
              <w:left w:val="single" w:color="auto" w:sz="4" w:space="0"/>
              <w:bottom w:val="sing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建筑物还原利率</w:t>
            </w:r>
          </w:p>
        </w:tc>
        <w:tc>
          <w:tcPr>
            <w:tcW w:w="604" w:type="pct"/>
            <w:tcBorders>
              <w:top w:val="single" w:color="auto" w:sz="4" w:space="0"/>
              <w:left w:val="single" w:color="auto" w:sz="4" w:space="0"/>
              <w:bottom w:val="sing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综合还原利率</w:t>
            </w:r>
          </w:p>
        </w:tc>
        <w:tc>
          <w:tcPr>
            <w:tcW w:w="535" w:type="pct"/>
            <w:tcBorders>
              <w:top w:val="single" w:color="auto" w:sz="4" w:space="0"/>
              <w:left w:val="single" w:color="auto" w:sz="4" w:space="0"/>
              <w:bottom w:val="sing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土地还原利率</w:t>
            </w:r>
          </w:p>
        </w:tc>
        <w:tc>
          <w:tcPr>
            <w:tcW w:w="576" w:type="pct"/>
            <w:tcBorders>
              <w:top w:val="single" w:color="auto" w:sz="4" w:space="0"/>
              <w:left w:val="single" w:color="auto" w:sz="4" w:space="0"/>
              <w:bottom w:val="sing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建筑物还原利率</w:t>
            </w:r>
          </w:p>
        </w:tc>
        <w:tc>
          <w:tcPr>
            <w:tcW w:w="524" w:type="pct"/>
            <w:tcBorders>
              <w:top w:val="single" w:color="auto" w:sz="4" w:space="0"/>
              <w:left w:val="single" w:color="auto" w:sz="4" w:space="0"/>
              <w:bottom w:val="sing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综合还原利率</w:t>
            </w:r>
          </w:p>
        </w:tc>
        <w:tc>
          <w:tcPr>
            <w:tcW w:w="614" w:type="pct"/>
            <w:tcBorders>
              <w:top w:val="single" w:color="auto" w:sz="4" w:space="0"/>
              <w:left w:val="single" w:color="auto" w:sz="4" w:space="0"/>
              <w:bottom w:val="sing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土地还原利率</w:t>
            </w:r>
          </w:p>
        </w:tc>
        <w:tc>
          <w:tcPr>
            <w:tcW w:w="568" w:type="pct"/>
            <w:tcBorders>
              <w:top w:val="single" w:color="auto" w:sz="4" w:space="0"/>
              <w:left w:val="single" w:color="auto" w:sz="4" w:space="0"/>
              <w:bottom w:val="single" w:color="auto" w:sz="4" w:space="0"/>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建筑物还原利率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14" w:type="pct"/>
            <w:tcBorders>
              <w:top w:val="single" w:color="auto" w:sz="4" w:space="0"/>
              <w:left w:val="double" w:color="auto" w:sz="4" w:space="0"/>
              <w:bottom w:val="double" w:color="auto" w:sz="4" w:space="0"/>
              <w:right w:val="single" w:color="auto" w:sz="4" w:space="0"/>
            </w:tcBorders>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计算</w:t>
            </w:r>
          </w:p>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w:t>
            </w:r>
          </w:p>
        </w:tc>
        <w:tc>
          <w:tcPr>
            <w:tcW w:w="427" w:type="pct"/>
            <w:tcBorders>
              <w:top w:val="single" w:color="auto" w:sz="4" w:space="0"/>
              <w:left w:val="single" w:color="auto" w:sz="4" w:space="0"/>
              <w:bottom w:val="doub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6.55</w:t>
            </w:r>
          </w:p>
        </w:tc>
        <w:tc>
          <w:tcPr>
            <w:tcW w:w="532" w:type="pct"/>
            <w:tcBorders>
              <w:top w:val="single" w:color="auto" w:sz="4" w:space="0"/>
              <w:left w:val="single" w:color="auto" w:sz="4" w:space="0"/>
              <w:bottom w:val="doub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8.95</w:t>
            </w:r>
          </w:p>
        </w:tc>
        <w:tc>
          <w:tcPr>
            <w:tcW w:w="604" w:type="pct"/>
            <w:tcBorders>
              <w:top w:val="single" w:color="auto" w:sz="4" w:space="0"/>
              <w:left w:val="single" w:color="auto" w:sz="4" w:space="0"/>
              <w:bottom w:val="doub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7.76</w:t>
            </w:r>
          </w:p>
        </w:tc>
        <w:tc>
          <w:tcPr>
            <w:tcW w:w="535" w:type="pct"/>
            <w:tcBorders>
              <w:top w:val="single" w:color="auto" w:sz="4" w:space="0"/>
              <w:left w:val="single" w:color="auto" w:sz="4" w:space="0"/>
              <w:bottom w:val="doub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5.82</w:t>
            </w:r>
          </w:p>
        </w:tc>
        <w:tc>
          <w:tcPr>
            <w:tcW w:w="576" w:type="pct"/>
            <w:tcBorders>
              <w:top w:val="single" w:color="auto" w:sz="4" w:space="0"/>
              <w:left w:val="single" w:color="auto" w:sz="4" w:space="0"/>
              <w:bottom w:val="doub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8.27</w:t>
            </w:r>
          </w:p>
        </w:tc>
        <w:tc>
          <w:tcPr>
            <w:tcW w:w="524" w:type="pct"/>
            <w:tcBorders>
              <w:top w:val="single" w:color="auto" w:sz="4" w:space="0"/>
              <w:left w:val="single" w:color="auto" w:sz="4" w:space="0"/>
              <w:bottom w:val="doub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08</w:t>
            </w:r>
          </w:p>
        </w:tc>
        <w:tc>
          <w:tcPr>
            <w:tcW w:w="614" w:type="pct"/>
            <w:tcBorders>
              <w:top w:val="single" w:color="auto" w:sz="4" w:space="0"/>
              <w:left w:val="single" w:color="auto" w:sz="4" w:space="0"/>
              <w:bottom w:val="double" w:color="auto" w:sz="4" w:space="0"/>
              <w:right w:val="sing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4.85</w:t>
            </w:r>
          </w:p>
        </w:tc>
        <w:tc>
          <w:tcPr>
            <w:tcW w:w="568" w:type="pct"/>
            <w:tcBorders>
              <w:top w:val="single" w:color="auto" w:sz="4" w:space="0"/>
              <w:left w:val="single" w:color="auto" w:sz="4" w:space="0"/>
              <w:bottom w:val="double" w:color="auto" w:sz="4" w:space="0"/>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3"/>
        <w:bidi w:val="0"/>
        <w:rPr>
          <w:rFonts w:hint="eastAsia" w:ascii="仿宋_GB2312" w:hAnsi="仿宋_GB2312" w:eastAsia="仿宋_GB2312" w:cs="仿宋_GB2312"/>
        </w:rPr>
      </w:pPr>
      <w:bookmarkStart w:id="24" w:name="_Toc10095"/>
      <w:r>
        <w:rPr>
          <w:rFonts w:hint="eastAsia" w:ascii="仿宋_GB2312" w:hAnsi="仿宋_GB2312" w:eastAsia="仿宋_GB2312" w:cs="仿宋_GB2312"/>
        </w:rPr>
        <w:t>第二章  白脑包镇基准地价更新成果</w:t>
      </w:r>
      <w:bookmarkEnd w:id="18"/>
      <w:bookmarkEnd w:id="19"/>
      <w:bookmarkEnd w:id="20"/>
      <w:bookmarkEnd w:id="21"/>
      <w:bookmarkEnd w:id="22"/>
      <w:bookmarkEnd w:id="23"/>
      <w:bookmarkEnd w:id="24"/>
    </w:p>
    <w:p>
      <w:pPr>
        <w:pStyle w:val="4"/>
        <w:bidi w:val="0"/>
        <w:rPr>
          <w:rFonts w:hint="eastAsia" w:ascii="仿宋_GB2312" w:hAnsi="仿宋_GB2312" w:eastAsia="仿宋_GB2312" w:cs="仿宋_GB2312"/>
          <w:szCs w:val="30"/>
        </w:rPr>
      </w:pPr>
      <w:bookmarkStart w:id="25" w:name="_Toc4915"/>
      <w:bookmarkStart w:id="26" w:name="_Toc31301"/>
      <w:bookmarkStart w:id="27" w:name="_Toc12389"/>
      <w:bookmarkStart w:id="28" w:name="_Toc8231"/>
      <w:bookmarkStart w:id="29" w:name="_Toc5978"/>
      <w:bookmarkStart w:id="30" w:name="_Toc25629"/>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基准地价更新成果</w:t>
      </w:r>
      <w:bookmarkEnd w:id="25"/>
      <w:bookmarkEnd w:id="26"/>
      <w:bookmarkEnd w:id="27"/>
      <w:bookmarkEnd w:id="28"/>
      <w:bookmarkEnd w:id="29"/>
      <w:bookmarkEnd w:id="30"/>
    </w:p>
    <w:p>
      <w:pPr>
        <w:bidi w:val="0"/>
        <w:rPr>
          <w:rFonts w:hint="eastAsia" w:ascii="仿宋_GB2312" w:hAnsi="仿宋_GB2312" w:eastAsia="仿宋_GB2312" w:cs="仿宋_GB2312"/>
        </w:rPr>
      </w:pPr>
      <w:r>
        <w:rPr>
          <w:rFonts w:hint="eastAsia" w:ascii="仿宋_GB2312" w:hAnsi="仿宋_GB2312" w:eastAsia="仿宋_GB2312" w:cs="仿宋_GB2312"/>
        </w:rPr>
        <w:t>临河区白脑包镇此次基准地价更新的评估基准日是2021年6月30日。同时，综合考虑临河区白脑包镇近四年土地招、拍、挂出让案例和最新的控制性土地开发强度规划指标，依据临河区白脑包镇地区实际经济发展情况，为切实反映地区经济发展的差异性，更准确体现不同地区的基准地价实际水平，此次基准地价更新评估采用城区差别化地价内涵设定。</w:t>
      </w:r>
    </w:p>
    <w:p>
      <w:pPr>
        <w:bidi w:val="0"/>
        <w:rPr>
          <w:rFonts w:hint="eastAsia" w:ascii="仿宋_GB2312" w:hAnsi="仿宋_GB2312" w:eastAsia="仿宋_GB2312" w:cs="仿宋_GB2312"/>
        </w:rPr>
      </w:pPr>
      <w:r>
        <w:rPr>
          <w:rFonts w:hint="eastAsia" w:ascii="仿宋_GB2312" w:hAnsi="仿宋_GB2312" w:eastAsia="仿宋_GB2312" w:cs="仿宋_GB2312"/>
        </w:rPr>
        <w:t>设定土地开发程度为商服用地、住宅用地 “五通一平”（宗地红线外通路、通电、通上水、通下水、通讯和宗地内场地平整），工业用地“四通一平”（宗地红线外通路、通电、通讯、通上水和宗地内场地平整）。</w:t>
      </w:r>
    </w:p>
    <w:p>
      <w:pPr>
        <w:bidi w:val="0"/>
        <w:rPr>
          <w:rFonts w:hint="eastAsia" w:ascii="仿宋_GB2312" w:hAnsi="仿宋_GB2312" w:eastAsia="仿宋_GB2312" w:cs="仿宋_GB2312"/>
        </w:rPr>
      </w:pPr>
      <w:r>
        <w:rPr>
          <w:rFonts w:hint="eastAsia" w:ascii="仿宋_GB2312" w:hAnsi="仿宋_GB2312" w:eastAsia="仿宋_GB2312" w:cs="仿宋_GB2312"/>
        </w:rPr>
        <w:t>法定土地使用权最高出让年限为商服用地40年、住宅用地70年、工业用地50年。</w:t>
      </w:r>
    </w:p>
    <w:p>
      <w:pPr>
        <w:bidi w:val="0"/>
        <w:rPr>
          <w:rFonts w:hint="eastAsia" w:ascii="仿宋_GB2312" w:hAnsi="仿宋_GB2312" w:eastAsia="仿宋_GB2312" w:cs="仿宋_GB2312"/>
        </w:rPr>
      </w:pPr>
      <w:r>
        <w:rPr>
          <w:rFonts w:hint="eastAsia" w:ascii="仿宋_GB2312" w:hAnsi="仿宋_GB2312" w:eastAsia="仿宋_GB2312" w:cs="仿宋_GB2312"/>
        </w:rPr>
        <w:t>容积率的设定：商服用地平均容积率为1.0，住宅用地平均容积率为1.0，工业用地平均容积率为0.7。</w:t>
      </w:r>
    </w:p>
    <w:p>
      <w:pPr>
        <w:bidi w:val="0"/>
        <w:rPr>
          <w:rFonts w:hint="eastAsia" w:ascii="仿宋_GB2312" w:hAnsi="仿宋_GB2312" w:eastAsia="仿宋_GB2312" w:cs="仿宋_GB2312"/>
        </w:rPr>
      </w:pPr>
      <w:r>
        <w:rPr>
          <w:rFonts w:hint="eastAsia" w:ascii="仿宋_GB2312" w:hAnsi="仿宋_GB2312" w:eastAsia="仿宋_GB2312" w:cs="仿宋_GB2312"/>
        </w:rPr>
        <w:t>地价表达形式，根据临河区白脑包镇地价楼层分布特征和应用需要，设定：</w:t>
      </w:r>
    </w:p>
    <w:p>
      <w:pPr>
        <w:bidi w:val="0"/>
        <w:rPr>
          <w:rFonts w:hint="eastAsia" w:ascii="仿宋_GB2312" w:hAnsi="仿宋_GB2312" w:eastAsia="仿宋_GB2312" w:cs="仿宋_GB2312"/>
        </w:rPr>
      </w:pPr>
      <w:r>
        <w:rPr>
          <w:rFonts w:hint="eastAsia" w:ascii="仿宋_GB2312" w:hAnsi="仿宋_GB2312" w:eastAsia="仿宋_GB2312" w:cs="仿宋_GB2312"/>
        </w:rPr>
        <w:t>1、商服用地基准地价(级别价)：是平均容积率1.0下的平均基准地价，即平均容积率1.0下的每平方米面积分摊的土地使用权平均价格。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2、住宅用地基准地价(级别价)是：平均容积率1.0下的平均基准地价，即平均容积率1.0下的每平方米面积分摊的土地使用权平均价格。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3、工业用地基准地价(级别价)是：平均容积率0.7下的平均基准地价，即平均容积率0.7下的每平方米面积分摊的土地使用权平均价格。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基准地价内涵说明见下表。</w:t>
      </w: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表2-1基准地价内涵说明表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2045"/>
        <w:gridCol w:w="2214"/>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pct"/>
            <w:tcBorders>
              <w:top w:val="double" w:color="auto" w:sz="4" w:space="0"/>
              <w:left w:val="doub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用途</w:t>
            </w:r>
          </w:p>
        </w:tc>
        <w:tc>
          <w:tcPr>
            <w:tcW w:w="1200" w:type="pct"/>
            <w:tcBorders>
              <w:top w:val="doub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w:t>
            </w:r>
          </w:p>
        </w:tc>
        <w:tc>
          <w:tcPr>
            <w:tcW w:w="1299" w:type="pct"/>
            <w:tcBorders>
              <w:top w:val="doub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w:t>
            </w:r>
          </w:p>
        </w:tc>
        <w:tc>
          <w:tcPr>
            <w:tcW w:w="1400" w:type="pct"/>
            <w:tcBorders>
              <w:top w:val="double" w:color="auto" w:sz="4" w:space="0"/>
              <w:right w:val="double" w:color="auto" w:sz="4" w:space="0"/>
            </w:tcBorders>
            <w:vAlign w:val="center"/>
          </w:tcPr>
          <w:p>
            <w:pPr>
              <w:pStyle w:val="2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pct"/>
            <w:tcBorders>
              <w:lef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价格构成</w:t>
            </w:r>
          </w:p>
        </w:tc>
        <w:tc>
          <w:tcPr>
            <w:tcW w:w="3900" w:type="pct"/>
            <w:gridSpan w:val="3"/>
            <w:tcBorders>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土地取得费、土地开发配套费用、应纳税费、利息、利润、土地增值收益。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pct"/>
            <w:tcBorders>
              <w:lef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评估期日</w:t>
            </w:r>
          </w:p>
        </w:tc>
        <w:tc>
          <w:tcPr>
            <w:tcW w:w="3900" w:type="pct"/>
            <w:gridSpan w:val="3"/>
            <w:tcBorders>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pct"/>
            <w:tcBorders>
              <w:lef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土地开发程度</w:t>
            </w:r>
          </w:p>
        </w:tc>
        <w:tc>
          <w:tcPr>
            <w:tcW w:w="3900" w:type="pct"/>
            <w:gridSpan w:val="3"/>
            <w:tcBorders>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住宅用地设定开发程度均设定为“五通一平”（宗地红线外通路、通电、通上水、通下水、通讯和宗地内场地平整）；工业用地设定开发程度均设定为“四通一平”（宗地红线外通路、通电、通上水、通讯和宗地内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pct"/>
            <w:tcBorders>
              <w:lef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土地使用年期</w:t>
            </w:r>
          </w:p>
        </w:tc>
        <w:tc>
          <w:tcPr>
            <w:tcW w:w="1200" w:type="pct"/>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1299" w:type="pct"/>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1400" w:type="pct"/>
            <w:tcBorders>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pct"/>
            <w:tcBorders>
              <w:left w:val="double" w:color="auto" w:sz="4" w:space="0"/>
              <w:bottom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平均容积率</w:t>
            </w:r>
          </w:p>
        </w:tc>
        <w:tc>
          <w:tcPr>
            <w:tcW w:w="1200" w:type="pct"/>
            <w:tcBorders>
              <w:bottom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299" w:type="pct"/>
            <w:tcBorders>
              <w:bottom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400" w:type="pct"/>
            <w:tcBorders>
              <w:bottom w:val="double" w:color="auto" w:sz="4" w:space="0"/>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0.7</w:t>
            </w:r>
          </w:p>
        </w:tc>
      </w:tr>
    </w:tbl>
    <w:p>
      <w:pPr>
        <w:bidi w:val="0"/>
        <w:rPr>
          <w:rFonts w:hint="eastAsia"/>
        </w:rPr>
      </w:pPr>
      <w:r>
        <w:rPr>
          <w:rFonts w:hint="eastAsia"/>
        </w:rPr>
        <w:t>白脑包镇2021年基准地价更新采用分类定级的方式，即依据不同用途进行土地级别划分和基准地价确定，各用途各级别基准地价价格如表2-2。</w:t>
      </w:r>
    </w:p>
    <w:p>
      <w:pPr>
        <w:adjustRightInd w:val="0"/>
        <w:snapToGrid w:val="0"/>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sz w:val="21"/>
          <w:szCs w:val="21"/>
        </w:rPr>
        <w:t>表2-2白脑包镇</w:t>
      </w:r>
      <w:r>
        <w:rPr>
          <w:rFonts w:hint="eastAsia" w:ascii="仿宋_GB2312" w:hAnsi="仿宋_GB2312" w:eastAsia="仿宋_GB2312" w:cs="仿宋_GB2312"/>
          <w:b/>
          <w:bCs/>
          <w:sz w:val="21"/>
          <w:szCs w:val="21"/>
        </w:rPr>
        <w:t>各类用地基准地价表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95"/>
        <w:gridCol w:w="2108"/>
        <w:gridCol w:w="2108"/>
        <w:gridCol w:w="21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vMerge w:val="restart"/>
            <w:tcBorders>
              <w:top w:val="double" w:color="auto" w:sz="4" w:space="0"/>
              <w:left w:val="double" w:color="auto" w:sz="4" w:space="0"/>
              <w:bottom w:val="single" w:color="auto" w:sz="6"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20"/>
              <w:rPr>
                <w:rFonts w:hint="eastAsia" w:ascii="仿宋_GB2312" w:hAnsi="仿宋_GB2312" w:eastAsia="仿宋_GB2312" w:cs="仿宋_GB2312"/>
                <w:sz w:val="21"/>
                <w:szCs w:val="21"/>
                <w:u w:val="single"/>
              </w:rPr>
            </w:pPr>
            <w:bookmarkStart w:id="31" w:name="_Toc9974"/>
            <w:bookmarkStart w:id="32" w:name="_Toc18687"/>
            <w:bookmarkStart w:id="33" w:name="_Toc454869985"/>
            <w:bookmarkStart w:id="34" w:name="_Toc3169"/>
            <w:bookmarkStart w:id="35" w:name="_Toc17352"/>
            <w:bookmarkStart w:id="36" w:name="_Toc454553814"/>
            <w:bookmarkStart w:id="37" w:name="_Toc10522"/>
          </w:p>
          <w:p>
            <w:pPr>
              <w:pStyle w:val="20"/>
              <w:snapToGrid w:val="0"/>
              <w:spacing w:line="240" w:lineRule="auto"/>
              <w:rPr>
                <w:rFonts w:hint="eastAsia" w:ascii="仿宋_GB2312" w:hAnsi="仿宋_GB2312" w:eastAsia="仿宋_GB2312" w:cs="仿宋_GB2312"/>
                <w:sz w:val="21"/>
                <w:szCs w:val="21"/>
              </w:rPr>
            </w:pPr>
          </w:p>
          <w:p>
            <w:pPr>
              <w:pStyle w:val="20"/>
              <w:snapToGrid w:val="0"/>
              <w:spacing w:line="240" w:lineRule="auto"/>
              <mc:AlternateContent>
                <mc:Choice Requires="wpsCustomData">
                  <wpsCustomData:diagonalParaType/>
                </mc:Choice>
              </mc:AlternateConten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级别</w:t>
            </w:r>
          </w:p>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用途</w:t>
            </w:r>
          </w:p>
          <w:p>
            <w:pPr>
              <w:pStyle w:val="20"/>
              <w:rPr>
                <w:rFonts w:hint="eastAsia" w:ascii="仿宋_GB2312" w:hAnsi="仿宋_GB2312" w:eastAsia="仿宋_GB2312" w:cs="仿宋_GB2312"/>
                <w:sz w:val="21"/>
                <w:szCs w:val="21"/>
              </w:rPr>
            </w:pPr>
          </w:p>
        </w:tc>
        <w:tc>
          <w:tcPr>
            <w:tcW w:w="1237" w:type="pct"/>
            <w:tcBorders>
              <w:top w:val="double" w:color="auto" w:sz="4"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w:t>
            </w:r>
          </w:p>
        </w:tc>
        <w:tc>
          <w:tcPr>
            <w:tcW w:w="1237" w:type="pct"/>
            <w:tcBorders>
              <w:top w:val="double" w:color="auto" w:sz="4"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w:t>
            </w:r>
          </w:p>
        </w:tc>
        <w:tc>
          <w:tcPr>
            <w:tcW w:w="1237" w:type="pct"/>
            <w:tcBorders>
              <w:top w:val="double" w:color="auto" w:sz="4" w:space="0"/>
              <w:bottom w:val="single" w:color="auto" w:sz="6" w:space="0"/>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vMerge w:val="continue"/>
            <w:tcBorders>
              <w:top w:val="single" w:color="auto" w:sz="6" w:space="0"/>
              <w:left w:val="double" w:color="auto" w:sz="4" w:space="0"/>
              <w:bottom w:val="single" w:color="auto" w:sz="6" w:space="0"/>
            </w:tcBorders>
            <w:vAlign w:val="center"/>
          </w:tcPr>
          <w:p>
            <w:pPr>
              <w:pStyle w:val="20"/>
              <w:rPr>
                <w:rFonts w:hint="eastAsia" w:ascii="仿宋_GB2312" w:hAnsi="仿宋_GB2312" w:eastAsia="仿宋_GB2312" w:cs="仿宋_GB2312"/>
                <w:sz w:val="21"/>
                <w:szCs w:val="21"/>
              </w:rPr>
            </w:pPr>
          </w:p>
        </w:tc>
        <w:tc>
          <w:tcPr>
            <w:tcW w:w="1237" w:type="pct"/>
            <w:tcBorders>
              <w:top w:val="single" w:color="auto" w:sz="6"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元/m2</w:t>
            </w:r>
          </w:p>
        </w:tc>
        <w:tc>
          <w:tcPr>
            <w:tcW w:w="1237" w:type="pct"/>
            <w:tcBorders>
              <w:top w:val="single" w:color="auto" w:sz="6"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元/m2</w:t>
            </w:r>
          </w:p>
        </w:tc>
        <w:tc>
          <w:tcPr>
            <w:tcW w:w="1237" w:type="pct"/>
            <w:tcBorders>
              <w:top w:val="single" w:color="auto" w:sz="6" w:space="0"/>
              <w:bottom w:val="single" w:color="auto" w:sz="6" w:space="0"/>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元/m2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tcBorders>
              <w:top w:val="single" w:color="auto" w:sz="6" w:space="0"/>
              <w:left w:val="double" w:color="auto" w:sz="4"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237" w:type="pct"/>
            <w:tcBorders>
              <w:top w:val="single" w:color="auto" w:sz="6"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163 </w:t>
            </w:r>
          </w:p>
        </w:tc>
        <w:tc>
          <w:tcPr>
            <w:tcW w:w="1237" w:type="pct"/>
            <w:tcBorders>
              <w:top w:val="single" w:color="auto" w:sz="6"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130 </w:t>
            </w:r>
          </w:p>
        </w:tc>
        <w:tc>
          <w:tcPr>
            <w:tcW w:w="1237" w:type="pct"/>
            <w:tcBorders>
              <w:top w:val="single" w:color="auto" w:sz="6" w:space="0"/>
              <w:bottom w:val="single" w:color="auto" w:sz="6" w:space="0"/>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85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tcBorders>
              <w:top w:val="single" w:color="auto" w:sz="6" w:space="0"/>
              <w:left w:val="double" w:color="auto" w:sz="4"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1237" w:type="pct"/>
            <w:tcBorders>
              <w:top w:val="single" w:color="auto" w:sz="6"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130 </w:t>
            </w:r>
          </w:p>
        </w:tc>
        <w:tc>
          <w:tcPr>
            <w:tcW w:w="1237" w:type="pct"/>
            <w:tcBorders>
              <w:top w:val="single" w:color="auto" w:sz="6" w:space="0"/>
              <w:bottom w:val="single" w:color="auto" w:sz="6"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102 </w:t>
            </w:r>
          </w:p>
        </w:tc>
        <w:tc>
          <w:tcPr>
            <w:tcW w:w="1237" w:type="pct"/>
            <w:tcBorders>
              <w:top w:val="single" w:color="auto" w:sz="6" w:space="0"/>
              <w:bottom w:val="single" w:color="auto" w:sz="6" w:space="0"/>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67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tcBorders>
              <w:top w:val="single" w:color="auto" w:sz="6" w:space="0"/>
              <w:left w:val="double" w:color="auto" w:sz="4" w:space="0"/>
              <w:bottom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Ⅲ</w:t>
            </w:r>
          </w:p>
        </w:tc>
        <w:tc>
          <w:tcPr>
            <w:tcW w:w="1237" w:type="pct"/>
            <w:tcBorders>
              <w:top w:val="single" w:color="auto" w:sz="6" w:space="0"/>
              <w:bottom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108 </w:t>
            </w:r>
          </w:p>
        </w:tc>
        <w:tc>
          <w:tcPr>
            <w:tcW w:w="1237" w:type="pct"/>
            <w:tcBorders>
              <w:top w:val="single" w:color="auto" w:sz="6" w:space="0"/>
              <w:bottom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237" w:type="pct"/>
            <w:tcBorders>
              <w:top w:val="single" w:color="auto" w:sz="6" w:space="0"/>
              <w:bottom w:val="double" w:color="auto" w:sz="4" w:space="0"/>
              <w:right w:val="double" w:color="auto" w:sz="4" w:space="0"/>
            </w:tcBorders>
            <w:vAlign w:val="center"/>
          </w:tcPr>
          <w:p>
            <w:pPr>
              <w:pStyle w:val="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4"/>
        <w:bidi w:val="0"/>
        <w:rPr>
          <w:rFonts w:hint="eastAsia"/>
        </w:rPr>
      </w:pPr>
      <w:bookmarkStart w:id="38" w:name="_Toc5871"/>
      <w:r>
        <w:rPr>
          <w:rFonts w:hint="eastAsia"/>
        </w:rPr>
        <w:t>第二节</w:t>
      </w:r>
      <w:r>
        <w:rPr>
          <w:rFonts w:hint="eastAsia"/>
          <w:lang w:val="en-US" w:eastAsia="zh-CN"/>
        </w:rPr>
        <w:t xml:space="preserve">  </w:t>
      </w:r>
      <w:r>
        <w:rPr>
          <w:rFonts w:hint="eastAsia"/>
        </w:rPr>
        <w:t>基准地价修正体系</w:t>
      </w:r>
      <w:bookmarkEnd w:id="31"/>
      <w:bookmarkEnd w:id="32"/>
      <w:bookmarkEnd w:id="33"/>
      <w:bookmarkEnd w:id="34"/>
      <w:bookmarkEnd w:id="35"/>
      <w:bookmarkEnd w:id="36"/>
      <w:bookmarkEnd w:id="37"/>
      <w:bookmarkEnd w:id="38"/>
    </w:p>
    <w:p>
      <w:pPr>
        <w:pStyle w:val="5"/>
        <w:bidi w:val="0"/>
        <w:rPr>
          <w:rFonts w:hint="eastAsia"/>
        </w:rPr>
      </w:pPr>
      <w:bookmarkStart w:id="39" w:name="_Toc26838"/>
      <w:r>
        <w:rPr>
          <w:rFonts w:hint="eastAsia"/>
          <w:lang w:eastAsia="zh-CN"/>
        </w:rPr>
        <w:t>一、</w:t>
      </w:r>
      <w:r>
        <w:rPr>
          <w:rFonts w:hint="eastAsia"/>
        </w:rPr>
        <w:t>商服用地基准地价个别因素修正体系</w:t>
      </w:r>
      <w:bookmarkEnd w:id="39"/>
    </w:p>
    <w:p>
      <w:pPr>
        <w:bidi w:val="0"/>
        <w:rPr>
          <w:rFonts w:hint="eastAsia"/>
        </w:rPr>
      </w:pPr>
      <w:r>
        <w:rPr>
          <w:rFonts w:hint="eastAsia"/>
          <w:lang w:val="en-US" w:eastAsia="zh-CN"/>
        </w:rPr>
        <w:t>1、</w:t>
      </w:r>
      <w:r>
        <w:rPr>
          <w:rFonts w:hint="eastAsia"/>
        </w:rPr>
        <w:t>交易期日修正系数</w:t>
      </w:r>
    </w:p>
    <w:p>
      <w:pPr>
        <w:bidi w:val="0"/>
        <w:rPr>
          <w:rFonts w:hint="eastAsia"/>
        </w:rPr>
      </w:pPr>
      <w:r>
        <w:rPr>
          <w:rFonts w:hint="eastAsia"/>
        </w:rPr>
        <w:t>期日修正系数公式为：</w:t>
      </w:r>
    </w:p>
    <w:p>
      <w:pPr>
        <w:spacing w:line="324" w:lineRule="auto"/>
        <w:ind w:firstLine="560"/>
        <w:jc w:val="center"/>
        <w:rPr>
          <w:rFonts w:hint="eastAsia" w:ascii="仿宋_GB2312" w:hAnsi="仿宋_GB2312" w:eastAsia="仿宋_GB2312" w:cs="仿宋_GB2312"/>
          <w:color w:val="000000"/>
          <w:spacing w:val="0"/>
          <w:sz w:val="28"/>
          <w:szCs w:val="28"/>
          <w:vertAlign w:val="subscript"/>
        </w:rPr>
      </w:pPr>
      <w:r>
        <w:rPr>
          <w:rFonts w:hint="eastAsia" w:ascii="仿宋_GB2312" w:hAnsi="仿宋_GB2312" w:eastAsia="仿宋_GB2312" w:cs="仿宋_GB2312"/>
          <w:color w:val="000000"/>
          <w:spacing w:val="0"/>
          <w:position w:val="-32"/>
          <w:sz w:val="28"/>
          <w:szCs w:val="28"/>
        </w:rPr>
        <w:object>
          <v:shape id="_x0000_i1025" o:spt="75" type="#_x0000_t75" style="height:36pt;width:50.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pPr>
        <w:spacing w:line="324" w:lineRule="auto"/>
        <w:ind w:firstLine="56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式中：K</w:t>
      </w:r>
      <w:r>
        <w:rPr>
          <w:rFonts w:hint="eastAsia" w:ascii="仿宋_GB2312" w:hAnsi="仿宋_GB2312" w:eastAsia="仿宋_GB2312" w:cs="仿宋_GB2312"/>
          <w:spacing w:val="0"/>
          <w:kern w:val="0"/>
          <w:sz w:val="28"/>
          <w:szCs w:val="28"/>
          <w:vertAlign w:val="subscript"/>
        </w:rPr>
        <w:t>ij</w:t>
      </w:r>
      <w:r>
        <w:rPr>
          <w:rFonts w:hint="eastAsia" w:ascii="仿宋_GB2312" w:hAnsi="仿宋_GB2312" w:eastAsia="仿宋_GB2312" w:cs="仿宋_GB2312"/>
          <w:spacing w:val="0"/>
          <w:kern w:val="0"/>
          <w:sz w:val="28"/>
          <w:szCs w:val="28"/>
        </w:rPr>
        <w:t>—商服用地第j年数据修正到估价期日的系数；</w:t>
      </w:r>
    </w:p>
    <w:p>
      <w:pPr>
        <w:spacing w:line="324" w:lineRule="auto"/>
        <w:ind w:firstLine="56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P</w:t>
      </w:r>
      <w:r>
        <w:rPr>
          <w:rFonts w:hint="eastAsia" w:ascii="仿宋_GB2312" w:hAnsi="仿宋_GB2312" w:eastAsia="仿宋_GB2312" w:cs="仿宋_GB2312"/>
          <w:spacing w:val="0"/>
          <w:kern w:val="0"/>
          <w:sz w:val="28"/>
          <w:szCs w:val="28"/>
          <w:vertAlign w:val="subscript"/>
        </w:rPr>
        <w:t>is</w:t>
      </w:r>
      <w:r>
        <w:rPr>
          <w:rFonts w:hint="eastAsia" w:ascii="仿宋_GB2312" w:hAnsi="仿宋_GB2312" w:eastAsia="仿宋_GB2312" w:cs="仿宋_GB2312"/>
          <w:spacing w:val="0"/>
          <w:kern w:val="0"/>
          <w:sz w:val="28"/>
          <w:szCs w:val="28"/>
        </w:rPr>
        <w:t>—商服用地估价期日土地交易平均价；</w:t>
      </w:r>
    </w:p>
    <w:p>
      <w:pPr>
        <w:spacing w:line="324" w:lineRule="auto"/>
        <w:ind w:firstLine="56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P</w:t>
      </w:r>
      <w:r>
        <w:rPr>
          <w:rFonts w:hint="eastAsia" w:ascii="仿宋_GB2312" w:hAnsi="仿宋_GB2312" w:eastAsia="仿宋_GB2312" w:cs="仿宋_GB2312"/>
          <w:spacing w:val="0"/>
          <w:kern w:val="0"/>
          <w:sz w:val="28"/>
          <w:szCs w:val="28"/>
          <w:vertAlign w:val="subscript"/>
        </w:rPr>
        <w:t>ij</w:t>
      </w:r>
      <w:r>
        <w:rPr>
          <w:rFonts w:hint="eastAsia" w:ascii="仿宋_GB2312" w:hAnsi="仿宋_GB2312" w:eastAsia="仿宋_GB2312" w:cs="仿宋_GB2312"/>
          <w:spacing w:val="0"/>
          <w:kern w:val="0"/>
          <w:sz w:val="28"/>
          <w:szCs w:val="28"/>
        </w:rPr>
        <w:t>—商服用地第j年土地交易平均价。</w:t>
      </w:r>
    </w:p>
    <w:p>
      <w:pPr>
        <w:spacing w:line="324" w:lineRule="auto"/>
        <w:ind w:firstLine="560"/>
        <w:rPr>
          <w:rFonts w:hint="eastAsia" w:ascii="仿宋_GB2312" w:hAnsi="仿宋_GB2312" w:eastAsia="仿宋_GB2312" w:cs="仿宋_GB2312"/>
          <w:b/>
          <w:color w:val="000000"/>
          <w:spacing w:val="0"/>
          <w:sz w:val="28"/>
          <w:szCs w:val="28"/>
        </w:rPr>
      </w:pPr>
      <w:r>
        <w:rPr>
          <w:rFonts w:hint="eastAsia" w:ascii="仿宋_GB2312" w:hAnsi="仿宋_GB2312" w:eastAsia="仿宋_GB2312" w:cs="仿宋_GB2312"/>
          <w:spacing w:val="0"/>
          <w:kern w:val="0"/>
          <w:sz w:val="28"/>
          <w:szCs w:val="28"/>
        </w:rPr>
        <w:t>期日修正系数计算结果见表2-3。</w:t>
      </w:r>
    </w:p>
    <w:p>
      <w:pPr>
        <w:pStyle w:val="21"/>
        <w:bidi w:val="0"/>
        <w:rPr>
          <w:rFonts w:hint="eastAsia"/>
        </w:rPr>
      </w:pPr>
      <w:r>
        <w:rPr>
          <w:rFonts w:hint="eastAsia"/>
        </w:rPr>
        <w:t>表2-3临河区白脑包镇交易期日修正系数表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903"/>
        <w:gridCol w:w="899"/>
        <w:gridCol w:w="899"/>
        <w:gridCol w:w="899"/>
        <w:gridCol w:w="899"/>
        <w:gridCol w:w="899"/>
        <w:gridCol w:w="894"/>
        <w:gridCol w:w="8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交易期日</w:t>
            </w:r>
          </w:p>
        </w:tc>
        <w:tc>
          <w:tcPr>
            <w:tcW w:w="53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2014</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2015</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2017</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2018</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2019</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2020</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修正系数</w:t>
            </w:r>
          </w:p>
        </w:tc>
        <w:tc>
          <w:tcPr>
            <w:tcW w:w="53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rPr>
      </w:pPr>
      <w:r>
        <w:rPr>
          <w:rFonts w:hint="eastAsia"/>
          <w:lang w:val="en-US" w:eastAsia="zh-CN"/>
        </w:rPr>
        <w:t>2、</w:t>
      </w:r>
      <w:r>
        <w:rPr>
          <w:rFonts w:hint="eastAsia"/>
        </w:rPr>
        <w:t>土地使用年期修正系数</w:t>
      </w:r>
    </w:p>
    <w:p>
      <w:pPr>
        <w:bidi w:val="0"/>
        <w:rPr>
          <w:rFonts w:hint="eastAsia"/>
        </w:rPr>
      </w:pPr>
      <w:r>
        <w:rPr>
          <w:rFonts w:hint="eastAsia"/>
        </w:rPr>
        <w:t>有限年期使用权价格应该修正到法定最高年期地价，商服用地法定最高出让年期为40年。商服用地土地还原利率为6.55%。</w:t>
      </w:r>
    </w:p>
    <w:p>
      <w:pPr>
        <w:bidi w:val="0"/>
        <w:rPr>
          <w:rFonts w:hint="eastAsia"/>
        </w:rPr>
      </w:pPr>
      <w:r>
        <w:rPr>
          <w:rFonts w:hint="eastAsia"/>
        </w:rPr>
        <w:t>使用年期修正系数的计算公式为：</w:t>
      </w:r>
    </w:p>
    <w:p>
      <w:pPr>
        <w:wordWrap w:val="0"/>
        <w:ind w:firstLine="750" w:firstLineChars="268"/>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object>
          <v:shape id="_x0000_i1026" o:spt="75" type="#_x0000_t75" style="height:72pt;width:87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p>
    <w:p>
      <w:pPr>
        <w:bidi w:val="0"/>
        <w:rPr>
          <w:rFonts w:hint="eastAsia"/>
        </w:rPr>
      </w:pPr>
      <w:r>
        <w:rPr>
          <w:rFonts w:hint="eastAsia"/>
        </w:rPr>
        <w:t>式中：</w:t>
      </w:r>
    </w:p>
    <w:p>
      <w:pPr>
        <w:bidi w:val="0"/>
        <w:rPr>
          <w:rFonts w:hint="eastAsia"/>
        </w:rPr>
      </w:pPr>
      <w:r>
        <w:rPr>
          <w:rFonts w:hint="eastAsia"/>
        </w:rPr>
        <w:t>R ——土地还原率；</w:t>
      </w:r>
    </w:p>
    <w:p>
      <w:pPr>
        <w:bidi w:val="0"/>
        <w:rPr>
          <w:rFonts w:hint="eastAsia"/>
        </w:rPr>
      </w:pPr>
      <w:r>
        <w:rPr>
          <w:rFonts w:hint="eastAsia"/>
        </w:rPr>
        <w:t>M ——土地使用权法定最高出让年限；</w:t>
      </w:r>
    </w:p>
    <w:p>
      <w:pPr>
        <w:bidi w:val="0"/>
        <w:rPr>
          <w:rFonts w:hint="eastAsia"/>
        </w:rPr>
      </w:pPr>
      <w:r>
        <w:rPr>
          <w:rFonts w:hint="eastAsia"/>
        </w:rPr>
        <w:t>N ——剩余使用年期；</w:t>
      </w:r>
    </w:p>
    <w:p>
      <w:pPr>
        <w:bidi w:val="0"/>
        <w:rPr>
          <w:rFonts w:hint="eastAsia"/>
        </w:rPr>
      </w:pPr>
      <w:r>
        <w:rPr>
          <w:rFonts w:hint="eastAsia"/>
        </w:rPr>
        <w:t>Y ——使用年期修正系数。</w:t>
      </w:r>
    </w:p>
    <w:p>
      <w:pPr>
        <w:bidi w:val="0"/>
        <w:rPr>
          <w:rFonts w:hint="eastAsia"/>
        </w:rPr>
      </w:pPr>
      <w:r>
        <w:rPr>
          <w:rFonts w:hint="eastAsia"/>
        </w:rPr>
        <w:t>商服用地样点使用年期修正系数结果见表2-4。</w:t>
      </w:r>
    </w:p>
    <w:p>
      <w:pPr>
        <w:spacing w:line="440" w:lineRule="exact"/>
        <w:ind w:firstLine="446"/>
        <w:jc w:val="center"/>
        <w:rPr>
          <w:rFonts w:hint="eastAsia" w:ascii="仿宋_GB2312" w:hAnsi="仿宋_GB2312" w:eastAsia="仿宋_GB2312" w:cs="仿宋_GB2312"/>
          <w:b/>
          <w:bCs/>
          <w:szCs w:val="21"/>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表2-4  商服用地使用年期修正系数表</w:t>
      </w:r>
    </w:p>
    <w:tbl>
      <w:tblPr>
        <w:tblStyle w:val="14"/>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043"/>
        <w:gridCol w:w="1043"/>
        <w:gridCol w:w="1043"/>
        <w:gridCol w:w="1043"/>
        <w:gridCol w:w="1043"/>
        <w:gridCol w:w="10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剩余使用年期（年）</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0.0667</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0.1294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0.1882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0.2434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0.2952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0.3438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0.4322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0.4724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0.5101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0.5455</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0.5787</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0.6099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15</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17</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0.6391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0.6666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0.6924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0.7166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0.7393</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23</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0.7806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0.7993</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0.8169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0.8335</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0.849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0.8635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27</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30</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0.8772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0.9021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0.9134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0.924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0.9339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33</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35</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0.9432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0.952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0.9602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0.968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0.9752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0.982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40</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0.9884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0.9944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r>
    </w:tbl>
    <w:p>
      <w:pPr>
        <w:bidi w:val="0"/>
        <w:rPr>
          <w:rFonts w:hint="eastAsia"/>
        </w:rPr>
      </w:pPr>
      <w:r>
        <w:rPr>
          <w:rFonts w:hint="eastAsia"/>
          <w:lang w:val="en-US" w:eastAsia="zh-CN"/>
        </w:rPr>
        <w:t>3、</w:t>
      </w:r>
      <w:r>
        <w:rPr>
          <w:rFonts w:hint="eastAsia"/>
        </w:rPr>
        <w:t>宗地临街状况修正系数</w:t>
      </w:r>
    </w:p>
    <w:p>
      <w:pPr>
        <w:bidi w:val="0"/>
        <w:rPr>
          <w:rFonts w:hint="eastAsia"/>
        </w:rPr>
      </w:pPr>
      <w:r>
        <w:rPr>
          <w:rFonts w:hint="eastAsia"/>
        </w:rPr>
        <w:t>商服用地宗地临街状况修正体系见表2-5。</w:t>
      </w:r>
    </w:p>
    <w:p>
      <w:pPr>
        <w:pStyle w:val="21"/>
        <w:bidi w:val="0"/>
        <w:rPr>
          <w:rFonts w:hint="eastAsia"/>
        </w:rPr>
      </w:pPr>
      <w:bookmarkStart w:id="40" w:name="_Toc401303259"/>
      <w:r>
        <w:rPr>
          <w:rFonts w:hint="eastAsia"/>
        </w:rPr>
        <w:t>表2-5商服用地宗地临街状况修正</w:t>
      </w:r>
      <w:bookmarkEnd w:id="40"/>
      <w:r>
        <w:rPr>
          <w:rFonts w:hint="eastAsia"/>
        </w:rPr>
        <w:t>体系</w:t>
      </w:r>
    </w:p>
    <w:tbl>
      <w:tblPr>
        <w:tblStyle w:val="14"/>
        <w:tblW w:w="5054"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88"/>
        <w:gridCol w:w="1300"/>
        <w:gridCol w:w="1389"/>
        <w:gridCol w:w="1592"/>
        <w:gridCol w:w="1563"/>
        <w:gridCol w:w="12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30"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指标标准</w:t>
            </w:r>
          </w:p>
        </w:tc>
        <w:tc>
          <w:tcPr>
            <w:tcW w:w="77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优</w:t>
            </w:r>
          </w:p>
        </w:tc>
        <w:tc>
          <w:tcPr>
            <w:tcW w:w="824"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较优</w:t>
            </w:r>
          </w:p>
        </w:tc>
        <w:tc>
          <w:tcPr>
            <w:tcW w:w="944"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一般</w:t>
            </w:r>
          </w:p>
        </w:tc>
        <w:tc>
          <w:tcPr>
            <w:tcW w:w="92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较劣</w:t>
            </w:r>
          </w:p>
        </w:tc>
        <w:tc>
          <w:tcPr>
            <w:tcW w:w="76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6"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指标标</w:t>
            </w:r>
          </w:p>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准说明</w:t>
            </w:r>
          </w:p>
        </w:tc>
        <w:tc>
          <w:tcPr>
            <w:tcW w:w="77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街角地</w:t>
            </w:r>
          </w:p>
        </w:tc>
        <w:tc>
          <w:tcPr>
            <w:tcW w:w="82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两面临街</w:t>
            </w:r>
          </w:p>
        </w:tc>
        <w:tc>
          <w:tcPr>
            <w:tcW w:w="94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一面临街，距侧街</w:t>
            </w:r>
            <w:r>
              <w:rPr>
                <w:rFonts w:hint="eastAsia" w:ascii="仿宋_GB2312" w:hAnsi="仿宋_GB2312" w:eastAsia="仿宋_GB2312" w:cs="仿宋_GB2312"/>
                <w:color w:val="000000"/>
                <w:sz w:val="22"/>
                <w:szCs w:val="22"/>
              </w:rPr>
              <w:t>30</w:t>
            </w:r>
            <w:r>
              <w:rPr>
                <w:rFonts w:hint="eastAsia" w:ascii="仿宋_GB2312" w:hAnsi="仿宋_GB2312" w:eastAsia="仿宋_GB2312" w:cs="仿宋_GB2312"/>
                <w:sz w:val="22"/>
                <w:szCs w:val="22"/>
              </w:rPr>
              <w:t>米内</w:t>
            </w:r>
          </w:p>
        </w:tc>
        <w:tc>
          <w:tcPr>
            <w:tcW w:w="92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一面临街，距侧街</w:t>
            </w:r>
            <w:r>
              <w:rPr>
                <w:rFonts w:hint="eastAsia" w:ascii="仿宋_GB2312" w:hAnsi="仿宋_GB2312" w:eastAsia="仿宋_GB2312" w:cs="仿宋_GB2312"/>
                <w:color w:val="000000"/>
                <w:sz w:val="22"/>
                <w:szCs w:val="22"/>
              </w:rPr>
              <w:t>30</w:t>
            </w:r>
            <w:r>
              <w:rPr>
                <w:rFonts w:hint="eastAsia" w:ascii="仿宋_GB2312" w:hAnsi="仿宋_GB2312" w:eastAsia="仿宋_GB2312" w:cs="仿宋_GB2312"/>
                <w:sz w:val="22"/>
                <w:szCs w:val="22"/>
              </w:rPr>
              <w:t>米外</w:t>
            </w:r>
          </w:p>
        </w:tc>
        <w:tc>
          <w:tcPr>
            <w:tcW w:w="76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不临街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59" w:hRule="exact"/>
        </w:trPr>
        <w:tc>
          <w:tcPr>
            <w:tcW w:w="764"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修正系数</w:t>
            </w:r>
          </w:p>
        </w:tc>
        <w:tc>
          <w:tcPr>
            <w:tcW w:w="771"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060</w:t>
            </w:r>
          </w:p>
        </w:tc>
        <w:tc>
          <w:tcPr>
            <w:tcW w:w="824"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030</w:t>
            </w:r>
          </w:p>
        </w:tc>
        <w:tc>
          <w:tcPr>
            <w:tcW w:w="944"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000</w:t>
            </w:r>
          </w:p>
        </w:tc>
        <w:tc>
          <w:tcPr>
            <w:tcW w:w="92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0</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970</w:t>
            </w:r>
          </w:p>
        </w:tc>
        <w:tc>
          <w:tcPr>
            <w:tcW w:w="76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0</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940</w:t>
            </w:r>
          </w:p>
        </w:tc>
      </w:tr>
    </w:tbl>
    <w:p>
      <w:pPr>
        <w:bidi w:val="0"/>
        <w:rPr>
          <w:rFonts w:hint="eastAsia"/>
        </w:rPr>
      </w:pPr>
      <w:r>
        <w:rPr>
          <w:rFonts w:hint="eastAsia"/>
          <w:lang w:val="en-US" w:eastAsia="zh-CN"/>
        </w:rPr>
        <w:t>4、</w:t>
      </w:r>
      <w:r>
        <w:rPr>
          <w:rFonts w:hint="eastAsia"/>
        </w:rPr>
        <w:t>宗地面积状况修正系数</w:t>
      </w:r>
    </w:p>
    <w:p>
      <w:pPr>
        <w:bidi w:val="0"/>
        <w:rPr>
          <w:rFonts w:hint="eastAsia"/>
        </w:rPr>
      </w:pPr>
      <w:r>
        <w:rPr>
          <w:rFonts w:hint="eastAsia"/>
        </w:rPr>
        <w:t>商服用地宗地面积状况修正体系见表2-6。</w:t>
      </w:r>
      <w:bookmarkStart w:id="41" w:name="_Toc401303260"/>
    </w:p>
    <w:p>
      <w:pPr>
        <w:pStyle w:val="21"/>
        <w:bidi w:val="0"/>
        <w:rPr>
          <w:rFonts w:hint="eastAsia"/>
        </w:rPr>
      </w:pPr>
      <w:r>
        <w:rPr>
          <w:rFonts w:hint="eastAsia"/>
        </w:rPr>
        <w:t>表2-6  商服用地宗地面积状况修正</w:t>
      </w:r>
      <w:bookmarkEnd w:id="41"/>
      <w:r>
        <w:rPr>
          <w:rFonts w:hint="eastAsia"/>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2"/>
        <w:gridCol w:w="1412"/>
        <w:gridCol w:w="1412"/>
        <w:gridCol w:w="1413"/>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8"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指标标准</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优</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较优</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一般</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较劣</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46"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指标标</w:t>
            </w:r>
          </w:p>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准说明</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面积适中，对土地利用极为有利</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面积对土地利用较为有利</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面积对土地利用无不良影响</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面积较小，对土地利用有一定影响</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41"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修正系数</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1.030</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1.015</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1.000</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0.985</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0.970</w:t>
            </w:r>
          </w:p>
        </w:tc>
      </w:tr>
    </w:tbl>
    <w:p>
      <w:pPr>
        <w:bidi w:val="0"/>
        <w:rPr>
          <w:rFonts w:hint="eastAsia"/>
        </w:rPr>
      </w:pPr>
      <w:r>
        <w:rPr>
          <w:rFonts w:hint="eastAsia"/>
          <w:lang w:val="en-US" w:eastAsia="zh-CN"/>
        </w:rPr>
        <w:t>5、</w:t>
      </w:r>
      <w:r>
        <w:rPr>
          <w:rFonts w:hint="eastAsia"/>
        </w:rPr>
        <w:t>宗地形状状况修正系数</w:t>
      </w:r>
    </w:p>
    <w:p>
      <w:pPr>
        <w:bidi w:val="0"/>
        <w:rPr>
          <w:rFonts w:hint="eastAsia"/>
        </w:rPr>
      </w:pPr>
      <w:r>
        <w:rPr>
          <w:rFonts w:hint="eastAsia"/>
        </w:rPr>
        <w:t>商服用地宗地形状状况修正体系见表2-7。</w:t>
      </w:r>
      <w:bookmarkStart w:id="42" w:name="_Toc401303261"/>
    </w:p>
    <w:p>
      <w:pPr>
        <w:pStyle w:val="21"/>
        <w:bidi w:val="0"/>
        <w:rPr>
          <w:rFonts w:hint="eastAsia"/>
        </w:rPr>
      </w:pPr>
      <w:r>
        <w:rPr>
          <w:rFonts w:hint="eastAsia"/>
        </w:rPr>
        <w:t>表2-7 商服用地宗地形状状况修正</w:t>
      </w:r>
      <w:bookmarkEnd w:id="42"/>
      <w:r>
        <w:rPr>
          <w:rFonts w:hint="eastAsia"/>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4"/>
        <w:gridCol w:w="1434"/>
        <w:gridCol w:w="1435"/>
        <w:gridCol w:w="1434"/>
        <w:gridCol w:w="1435"/>
        <w:gridCol w:w="14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指标标准</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优</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较优</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一般</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较劣</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指标标</w:t>
            </w:r>
          </w:p>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准说明</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形状规则，对土地利用合理</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土地利用较为合理</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土地利用无不良影响</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形状不规则，对土地利用不合理</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修正系数</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1.040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1.020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1.000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0.980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0.960</w:t>
            </w:r>
          </w:p>
        </w:tc>
      </w:tr>
    </w:tbl>
    <w:p>
      <w:pPr>
        <w:bidi w:val="0"/>
        <w:rPr>
          <w:rFonts w:hint="eastAsia"/>
        </w:rPr>
      </w:pPr>
      <w:r>
        <w:rPr>
          <w:rFonts w:hint="eastAsia"/>
          <w:lang w:val="en-US" w:eastAsia="zh-CN"/>
        </w:rPr>
        <w:t>6、</w:t>
      </w:r>
      <w:r>
        <w:rPr>
          <w:rFonts w:hint="eastAsia"/>
        </w:rPr>
        <w:t>容积率修正</w:t>
      </w:r>
    </w:p>
    <w:p>
      <w:pPr>
        <w:bidi w:val="0"/>
        <w:rPr>
          <w:rFonts w:hint="eastAsia"/>
        </w:rPr>
      </w:pPr>
      <w:r>
        <w:rPr>
          <w:rFonts w:hint="eastAsia"/>
        </w:rPr>
        <w:t>基准地价是代表设定容积率水平下的地价，在进行宗地地价计算时需将基准地价修正到宗地实际容积率水平下的地价。调查不同容积率水平下的地价平均值，得出商服用地容积率修正系数。容积率修正系数的计算见公式：</w:t>
      </w:r>
    </w:p>
    <w:p>
      <w:pPr>
        <w:tabs>
          <w:tab w:val="left" w:pos="7350"/>
        </w:tabs>
        <w:ind w:firstLine="0" w:firstLineChars="0"/>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drawing>
          <wp:inline distT="0" distB="0" distL="0" distR="0">
            <wp:extent cx="590550" cy="438150"/>
            <wp:effectExtent l="0" t="0" r="0" b="3175"/>
            <wp:docPr id="34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68"/>
                    <pic:cNvPicPr>
                      <a:picLocks noChangeAspect="1" noChangeArrowheads="1"/>
                    </pic:cNvPicPr>
                  </pic:nvPicPr>
                  <pic:blipFill>
                    <a:blip r:embed="rId19" cstate="print"/>
                    <a:srcRect/>
                    <a:stretch>
                      <a:fillRect/>
                    </a:stretch>
                  </pic:blipFill>
                  <pic:spPr>
                    <a:xfrm>
                      <a:off x="0" y="0"/>
                      <a:ext cx="590550" cy="438150"/>
                    </a:xfrm>
                    <a:prstGeom prst="rect">
                      <a:avLst/>
                    </a:prstGeom>
                    <a:noFill/>
                    <a:ln w="9525">
                      <a:noFill/>
                      <a:miter lim="800000"/>
                      <a:headEnd/>
                      <a:tailEnd/>
                    </a:ln>
                  </pic:spPr>
                </pic:pic>
              </a:graphicData>
            </a:graphic>
          </wp:inline>
        </w:drawing>
      </w:r>
    </w:p>
    <w:p>
      <w:pPr>
        <w:adjustRightInd w:val="0"/>
        <w:snapToGrid w:val="0"/>
        <w:ind w:firstLine="56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式中：</w:t>
      </w:r>
    </w:p>
    <w:p>
      <w:pPr>
        <w:adjustRightInd w:val="0"/>
        <w:snapToGrid w:val="0"/>
        <w:ind w:firstLine="1260" w:firstLineChars="450"/>
        <w:rPr>
          <w:rFonts w:hint="eastAsia" w:ascii="仿宋_GB2312" w:hAnsi="仿宋_GB2312" w:eastAsia="仿宋_GB2312" w:cs="仿宋_GB2312"/>
          <w:spacing w:val="0"/>
          <w:sz w:val="28"/>
          <w:szCs w:val="28"/>
        </w:rPr>
      </w:pPr>
      <w:r>
        <w:rPr>
          <w:rFonts w:hint="eastAsia" w:ascii="仿宋_GB2312" w:hAnsi="仿宋_GB2312" w:eastAsia="仿宋_GB2312" w:cs="仿宋_GB2312"/>
          <w:i/>
          <w:color w:val="000000"/>
          <w:spacing w:val="0"/>
          <w:sz w:val="28"/>
          <w:szCs w:val="28"/>
        </w:rPr>
        <w:t>K</w:t>
      </w:r>
      <w:r>
        <w:rPr>
          <w:rFonts w:hint="eastAsia" w:ascii="仿宋_GB2312" w:hAnsi="仿宋_GB2312" w:eastAsia="仿宋_GB2312" w:cs="仿宋_GB2312"/>
          <w:i/>
          <w:color w:val="000000"/>
          <w:spacing w:val="0"/>
          <w:sz w:val="28"/>
          <w:szCs w:val="28"/>
          <w:vertAlign w:val="subscript"/>
        </w:rPr>
        <w:t>r</w:t>
      </w:r>
      <w:r>
        <w:rPr>
          <w:rFonts w:hint="eastAsia" w:ascii="仿宋_GB2312" w:hAnsi="仿宋_GB2312" w:eastAsia="仿宋_GB2312" w:cs="仿宋_GB2312"/>
          <w:spacing w:val="0"/>
          <w:sz w:val="28"/>
          <w:szCs w:val="28"/>
        </w:rPr>
        <w:t>--容积率修正系数；</w:t>
      </w:r>
    </w:p>
    <w:p>
      <w:pPr>
        <w:adjustRightInd w:val="0"/>
        <w:snapToGrid w:val="0"/>
        <w:ind w:firstLine="1260" w:firstLineChars="450"/>
        <w:rPr>
          <w:rFonts w:hint="eastAsia" w:ascii="仿宋_GB2312" w:hAnsi="仿宋_GB2312" w:eastAsia="仿宋_GB2312" w:cs="仿宋_GB2312"/>
          <w:spacing w:val="0"/>
          <w:sz w:val="28"/>
          <w:szCs w:val="28"/>
        </w:rPr>
      </w:pPr>
      <w:r>
        <w:rPr>
          <w:rFonts w:hint="eastAsia" w:ascii="仿宋_GB2312" w:hAnsi="仿宋_GB2312" w:eastAsia="仿宋_GB2312" w:cs="仿宋_GB2312"/>
          <w:i/>
          <w:color w:val="000000"/>
          <w:spacing w:val="0"/>
          <w:sz w:val="28"/>
          <w:szCs w:val="28"/>
        </w:rPr>
        <w:t>P</w:t>
      </w:r>
      <w:r>
        <w:rPr>
          <w:rFonts w:hint="eastAsia" w:ascii="仿宋_GB2312" w:hAnsi="仿宋_GB2312" w:eastAsia="仿宋_GB2312" w:cs="仿宋_GB2312"/>
          <w:i/>
          <w:color w:val="000000"/>
          <w:spacing w:val="0"/>
          <w:sz w:val="28"/>
          <w:szCs w:val="28"/>
          <w:vertAlign w:val="subscript"/>
        </w:rPr>
        <w:t>is</w:t>
      </w:r>
      <w:r>
        <w:rPr>
          <w:rFonts w:hint="eastAsia" w:ascii="仿宋_GB2312" w:hAnsi="仿宋_GB2312" w:eastAsia="仿宋_GB2312" w:cs="仿宋_GB2312"/>
          <w:spacing w:val="0"/>
          <w:sz w:val="28"/>
          <w:szCs w:val="28"/>
        </w:rPr>
        <w:t>—各类用地样点在规定容积率时单位面积的平均地价；</w:t>
      </w:r>
    </w:p>
    <w:p>
      <w:pPr>
        <w:adjustRightInd w:val="0"/>
        <w:snapToGrid w:val="0"/>
        <w:ind w:firstLine="1260" w:firstLineChars="450"/>
        <w:rPr>
          <w:rFonts w:hint="eastAsia" w:ascii="仿宋_GB2312" w:hAnsi="仿宋_GB2312" w:eastAsia="仿宋_GB2312" w:cs="仿宋_GB2312"/>
          <w:spacing w:val="0"/>
          <w:sz w:val="28"/>
          <w:szCs w:val="28"/>
        </w:rPr>
      </w:pPr>
      <w:r>
        <w:rPr>
          <w:rFonts w:hint="eastAsia" w:ascii="仿宋_GB2312" w:hAnsi="仿宋_GB2312" w:eastAsia="仿宋_GB2312" w:cs="仿宋_GB2312"/>
          <w:i/>
          <w:color w:val="000000"/>
          <w:spacing w:val="0"/>
          <w:sz w:val="28"/>
          <w:szCs w:val="28"/>
        </w:rPr>
        <w:t>P</w:t>
      </w:r>
      <w:r>
        <w:rPr>
          <w:rFonts w:hint="eastAsia" w:ascii="仿宋_GB2312" w:hAnsi="仿宋_GB2312" w:eastAsia="仿宋_GB2312" w:cs="仿宋_GB2312"/>
          <w:i/>
          <w:color w:val="000000"/>
          <w:spacing w:val="0"/>
          <w:sz w:val="28"/>
          <w:szCs w:val="28"/>
          <w:vertAlign w:val="subscript"/>
        </w:rPr>
        <w:t>i</w:t>
      </w:r>
      <w:r>
        <w:rPr>
          <w:rFonts w:hint="eastAsia" w:ascii="仿宋_GB2312" w:hAnsi="仿宋_GB2312" w:eastAsia="仿宋_GB2312" w:cs="仿宋_GB2312"/>
          <w:spacing w:val="0"/>
          <w:sz w:val="28"/>
          <w:szCs w:val="28"/>
        </w:rPr>
        <w:t>—各类用地样点某一容积率下单位面积平均地价。</w:t>
      </w:r>
    </w:p>
    <w:p>
      <w:pPr>
        <w:adjustRightInd w:val="0"/>
        <w:snapToGrid w:val="0"/>
        <w:ind w:firstLine="560"/>
        <w:jc w:val="left"/>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商服用地样点容积率修正系数见表</w:t>
      </w:r>
      <w:r>
        <w:rPr>
          <w:rFonts w:hint="eastAsia" w:ascii="仿宋_GB2312" w:hAnsi="仿宋_GB2312" w:eastAsia="仿宋_GB2312" w:cs="仿宋_GB2312"/>
          <w:spacing w:val="0"/>
          <w:kern w:val="0"/>
          <w:sz w:val="28"/>
          <w:szCs w:val="28"/>
        </w:rPr>
        <w:t>2-8。</w:t>
      </w:r>
    </w:p>
    <w:p>
      <w:pPr>
        <w:pStyle w:val="21"/>
        <w:bidi w:val="0"/>
        <w:rPr>
          <w:rFonts w:hint="eastAsia"/>
        </w:rPr>
      </w:pPr>
      <w:r>
        <w:rPr>
          <w:rFonts w:hint="eastAsia"/>
        </w:rPr>
        <w:t>表2-8  商服用地容积率修正系数表</w:t>
      </w:r>
    </w:p>
    <w:tbl>
      <w:tblPr>
        <w:tblStyle w:val="14"/>
        <w:tblW w:w="4997" w:type="pct"/>
        <w:tblInd w:w="0" w:type="dxa"/>
        <w:tblLayout w:type="autofit"/>
        <w:tblCellMar>
          <w:top w:w="0" w:type="dxa"/>
          <w:left w:w="108" w:type="dxa"/>
          <w:bottom w:w="0" w:type="dxa"/>
          <w:right w:w="108" w:type="dxa"/>
        </w:tblCellMar>
      </w:tblPr>
      <w:tblGrid>
        <w:gridCol w:w="1217"/>
        <w:gridCol w:w="1217"/>
        <w:gridCol w:w="1217"/>
        <w:gridCol w:w="1217"/>
        <w:gridCol w:w="1217"/>
        <w:gridCol w:w="1216"/>
        <w:gridCol w:w="1216"/>
      </w:tblGrid>
      <w:tr>
        <w:tblPrEx>
          <w:tblCellMar>
            <w:top w:w="0" w:type="dxa"/>
            <w:left w:w="108" w:type="dxa"/>
            <w:bottom w:w="0" w:type="dxa"/>
            <w:right w:w="108" w:type="dxa"/>
          </w:tblCellMar>
        </w:tblPrEx>
        <w:trPr>
          <w:trHeight w:val="567" w:hRule="atLeast"/>
        </w:trPr>
        <w:tc>
          <w:tcPr>
            <w:tcW w:w="714" w:type="pct"/>
            <w:tcBorders>
              <w:top w:val="doub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0.20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0.30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0.40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0.50</w:t>
            </w:r>
          </w:p>
        </w:tc>
        <w:tc>
          <w:tcPr>
            <w:tcW w:w="713"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0.60</w:t>
            </w:r>
          </w:p>
        </w:tc>
        <w:tc>
          <w:tcPr>
            <w:tcW w:w="713" w:type="pct"/>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0.70</w:t>
            </w:r>
          </w:p>
        </w:tc>
      </w:tr>
      <w:tr>
        <w:tblPrEx>
          <w:tblCellMar>
            <w:top w:w="0" w:type="dxa"/>
            <w:left w:w="108" w:type="dxa"/>
            <w:bottom w:w="0" w:type="dxa"/>
            <w:right w:w="108" w:type="dxa"/>
          </w:tblCellMar>
        </w:tblPrEx>
        <w:trPr>
          <w:trHeight w:val="56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0.5067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0.5712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0.6350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0.6979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0.7600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0.8212 </w:t>
            </w:r>
          </w:p>
        </w:tc>
      </w:tr>
      <w:tr>
        <w:tblPrEx>
          <w:tblCellMar>
            <w:top w:w="0" w:type="dxa"/>
            <w:left w:w="108" w:type="dxa"/>
            <w:bottom w:w="0" w:type="dxa"/>
            <w:right w:w="108" w:type="dxa"/>
          </w:tblCellMar>
        </w:tblPrEx>
        <w:trPr>
          <w:trHeight w:val="56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1.30</w:t>
            </w:r>
          </w:p>
        </w:tc>
      </w:tr>
      <w:tr>
        <w:tblPrEx>
          <w:tblCellMar>
            <w:top w:w="0" w:type="dxa"/>
            <w:left w:w="108" w:type="dxa"/>
            <w:bottom w:w="0" w:type="dxa"/>
            <w:right w:w="108" w:type="dxa"/>
          </w:tblCellMar>
        </w:tblPrEx>
        <w:trPr>
          <w:trHeight w:val="56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0.8816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0.9412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1.0000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1.0579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1.1151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1.1713 </w:t>
            </w:r>
          </w:p>
        </w:tc>
      </w:tr>
      <w:tr>
        <w:tblPrEx>
          <w:tblCellMar>
            <w:top w:w="0" w:type="dxa"/>
            <w:left w:w="108" w:type="dxa"/>
            <w:bottom w:w="0" w:type="dxa"/>
            <w:right w:w="108" w:type="dxa"/>
          </w:tblCellMar>
        </w:tblPrEx>
        <w:trPr>
          <w:trHeight w:val="56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1.90</w:t>
            </w:r>
          </w:p>
        </w:tc>
      </w:tr>
      <w:tr>
        <w:tblPrEx>
          <w:tblCellMar>
            <w:top w:w="0" w:type="dxa"/>
            <w:left w:w="108" w:type="dxa"/>
            <w:bottom w:w="0" w:type="dxa"/>
            <w:right w:w="108" w:type="dxa"/>
          </w:tblCellMar>
        </w:tblPrEx>
        <w:trPr>
          <w:trHeight w:val="56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1.2268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1.2814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1.3352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1.3882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1.4404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1.4917 </w:t>
            </w:r>
          </w:p>
        </w:tc>
      </w:tr>
      <w:tr>
        <w:tblPrEx>
          <w:tblCellMar>
            <w:top w:w="0" w:type="dxa"/>
            <w:left w:w="108" w:type="dxa"/>
            <w:bottom w:w="0" w:type="dxa"/>
            <w:right w:w="108" w:type="dxa"/>
          </w:tblCellMar>
        </w:tblPrEx>
        <w:trPr>
          <w:trHeight w:val="56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2.20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2.50</w:t>
            </w:r>
          </w:p>
        </w:tc>
      </w:tr>
      <w:tr>
        <w:tblPrEx>
          <w:tblCellMar>
            <w:top w:w="0" w:type="dxa"/>
            <w:left w:w="108" w:type="dxa"/>
            <w:bottom w:w="0" w:type="dxa"/>
            <w:right w:w="108" w:type="dxa"/>
          </w:tblCellMar>
        </w:tblPrEx>
        <w:trPr>
          <w:trHeight w:val="56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1.5422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1.5919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1.6407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1.6887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1.7359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1.7823 </w:t>
            </w:r>
          </w:p>
        </w:tc>
      </w:tr>
      <w:tr>
        <w:tblPrEx>
          <w:tblCellMar>
            <w:top w:w="0" w:type="dxa"/>
            <w:left w:w="108" w:type="dxa"/>
            <w:bottom w:w="0" w:type="dxa"/>
            <w:right w:w="108" w:type="dxa"/>
          </w:tblCellMar>
        </w:tblPrEx>
        <w:trPr>
          <w:trHeight w:val="56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2.90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3.10</w:t>
            </w:r>
          </w:p>
        </w:tc>
      </w:tr>
      <w:tr>
        <w:tblPrEx>
          <w:tblCellMar>
            <w:top w:w="0" w:type="dxa"/>
            <w:left w:w="108" w:type="dxa"/>
            <w:bottom w:w="0" w:type="dxa"/>
            <w:right w:w="108" w:type="dxa"/>
          </w:tblCellMar>
        </w:tblPrEx>
        <w:trPr>
          <w:trHeight w:val="567" w:hRule="atLeast"/>
        </w:trPr>
        <w:tc>
          <w:tcPr>
            <w:tcW w:w="714" w:type="pct"/>
            <w:tcBorders>
              <w:top w:val="single" w:color="auto" w:sz="4" w:space="0"/>
              <w:left w:val="doub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1.8278 </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1.8725 </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1.9164 </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1.9594 </w:t>
            </w:r>
          </w:p>
        </w:tc>
        <w:tc>
          <w:tcPr>
            <w:tcW w:w="713"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2.0016 </w:t>
            </w:r>
          </w:p>
        </w:tc>
        <w:tc>
          <w:tcPr>
            <w:tcW w:w="713" w:type="pct"/>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2.0430 </w:t>
            </w:r>
          </w:p>
        </w:tc>
      </w:tr>
    </w:tbl>
    <w:p>
      <w:pPr>
        <w:bidi w:val="0"/>
        <w:rPr>
          <w:rFonts w:hint="eastAsia"/>
        </w:rPr>
      </w:pPr>
      <w:r>
        <w:rPr>
          <w:rFonts w:hint="eastAsia"/>
          <w:lang w:val="en-US" w:eastAsia="zh-CN"/>
        </w:rPr>
        <w:t>7、</w:t>
      </w:r>
      <w:r>
        <w:rPr>
          <w:rFonts w:hint="eastAsia"/>
        </w:rPr>
        <w:t>宗地基础设施配套程度修正</w:t>
      </w:r>
    </w:p>
    <w:p>
      <w:pPr>
        <w:bidi w:val="0"/>
        <w:rPr>
          <w:rFonts w:hint="eastAsia"/>
        </w:rPr>
      </w:pPr>
      <w:r>
        <w:rPr>
          <w:rFonts w:hint="eastAsia"/>
        </w:rPr>
        <w:t>白脑包镇的商服用地基准地价设施设定开发程度均达到“五通一平”条件。若宗地基础设施配套程度修正没有达到该程度，利用基准地价来评估宗地地价时就应该减去相应的开发费用，反之则加上相应的开发费用。</w:t>
      </w:r>
    </w:p>
    <w:p>
      <w:pPr>
        <w:bidi w:val="0"/>
        <w:rPr>
          <w:rFonts w:hint="eastAsia"/>
        </w:rPr>
      </w:pPr>
      <w:r>
        <w:rPr>
          <w:rFonts w:hint="eastAsia"/>
        </w:rPr>
        <w:t>商服用地宗地基础设施配套程度开发费用见表2-9。</w:t>
      </w:r>
    </w:p>
    <w:p>
      <w:pPr>
        <w:pStyle w:val="21"/>
        <w:bidi w:val="0"/>
        <w:rPr>
          <w:rFonts w:hint="eastAsia"/>
        </w:rPr>
      </w:pPr>
      <w:r>
        <w:rPr>
          <w:rFonts w:hint="eastAsia"/>
        </w:rPr>
        <w:t xml:space="preserve"> 表2-9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872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06"/>
        <w:gridCol w:w="830"/>
        <w:gridCol w:w="841"/>
        <w:gridCol w:w="807"/>
        <w:gridCol w:w="862"/>
        <w:gridCol w:w="807"/>
        <w:gridCol w:w="860"/>
        <w:gridCol w:w="10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基础设施状况</w:t>
            </w:r>
          </w:p>
        </w:tc>
        <w:tc>
          <w:tcPr>
            <w:tcW w:w="1006"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通电</w:t>
            </w:r>
          </w:p>
        </w:tc>
        <w:tc>
          <w:tcPr>
            <w:tcW w:w="830"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通上水</w:t>
            </w:r>
          </w:p>
        </w:tc>
        <w:tc>
          <w:tcPr>
            <w:tcW w:w="841"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通下水</w:t>
            </w:r>
          </w:p>
        </w:tc>
        <w:tc>
          <w:tcPr>
            <w:tcW w:w="807"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通讯</w:t>
            </w:r>
          </w:p>
        </w:tc>
        <w:tc>
          <w:tcPr>
            <w:tcW w:w="862"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通气</w:t>
            </w:r>
          </w:p>
        </w:tc>
        <w:tc>
          <w:tcPr>
            <w:tcW w:w="807"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通路</w:t>
            </w:r>
          </w:p>
        </w:tc>
        <w:tc>
          <w:tcPr>
            <w:tcW w:w="860"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通热</w:t>
            </w:r>
          </w:p>
        </w:tc>
        <w:tc>
          <w:tcPr>
            <w:tcW w:w="1015"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开发费用</w:t>
            </w:r>
          </w:p>
        </w:tc>
        <w:tc>
          <w:tcPr>
            <w:tcW w:w="1006"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830"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841"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807"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862"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807"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860"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1015"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rPr>
      </w:pPr>
      <w:bookmarkStart w:id="43" w:name="_Toc1341"/>
      <w:r>
        <w:rPr>
          <w:rFonts w:hint="eastAsia"/>
          <w:lang w:eastAsia="zh-CN"/>
        </w:rPr>
        <w:t>二</w:t>
      </w:r>
      <w:r>
        <w:rPr>
          <w:rFonts w:hint="eastAsia"/>
        </w:rPr>
        <w:t>、住宅用地基准地价个别因素修正体系</w:t>
      </w:r>
      <w:bookmarkEnd w:id="43"/>
    </w:p>
    <w:p>
      <w:pPr>
        <w:bidi w:val="0"/>
        <w:rPr>
          <w:rFonts w:hint="eastAsia"/>
        </w:rPr>
      </w:pPr>
      <w:r>
        <w:rPr>
          <w:rFonts w:hint="eastAsia"/>
          <w:lang w:val="en-US" w:eastAsia="zh-CN"/>
        </w:rPr>
        <w:t>1、</w:t>
      </w:r>
      <w:r>
        <w:rPr>
          <w:rFonts w:hint="eastAsia"/>
        </w:rPr>
        <w:t>交易期日修正系数</w:t>
      </w:r>
    </w:p>
    <w:p>
      <w:pPr>
        <w:bidi w:val="0"/>
        <w:rPr>
          <w:rFonts w:hint="eastAsia"/>
        </w:rPr>
      </w:pPr>
      <w:r>
        <w:rPr>
          <w:rFonts w:hint="eastAsia"/>
        </w:rPr>
        <w:t>住宅用地交易期日修正系数见表2-10。</w:t>
      </w:r>
    </w:p>
    <w:p>
      <w:pPr>
        <w:pStyle w:val="21"/>
        <w:bidi w:val="0"/>
        <w:rPr>
          <w:rFonts w:hint="eastAsia"/>
        </w:rPr>
      </w:pPr>
      <w:r>
        <w:rPr>
          <w:rFonts w:hint="eastAsia"/>
        </w:rPr>
        <w:t>表2-10住宅用地交易期日修正系数表</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交易期日</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2014</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2015</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2017</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2018</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2019</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2020</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修正系数</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rPr>
      </w:pPr>
      <w:r>
        <w:rPr>
          <w:rFonts w:hint="eastAsia"/>
        </w:rPr>
        <w:t>住宅用地地价的评估时日修正方法同商服用地修正方法。</w:t>
      </w:r>
    </w:p>
    <w:p>
      <w:pPr>
        <w:bidi w:val="0"/>
        <w:rPr>
          <w:rFonts w:hint="eastAsia"/>
        </w:rPr>
      </w:pPr>
      <w:r>
        <w:rPr>
          <w:rFonts w:hint="eastAsia"/>
          <w:lang w:val="en-US" w:eastAsia="zh-CN"/>
        </w:rPr>
        <w:t>2、</w:t>
      </w:r>
      <w:r>
        <w:rPr>
          <w:rFonts w:hint="eastAsia"/>
        </w:rPr>
        <w:t>土地使用年期修正</w:t>
      </w:r>
    </w:p>
    <w:p>
      <w:pPr>
        <w:bidi w:val="0"/>
        <w:rPr>
          <w:rFonts w:hint="eastAsia"/>
        </w:rPr>
      </w:pPr>
      <w:r>
        <w:rPr>
          <w:rFonts w:hint="eastAsia"/>
        </w:rPr>
        <w:t>有限年期使用权价格应该修正到法定最高出让年期地价。住宅用地法定最高出让年期为70年，土地还原利率为5.82%。使用年期修正系数的计算公式见商服用地样点使用年期修正。住宅用地样点使用年期修正系数见表2-11。</w:t>
      </w:r>
    </w:p>
    <w:p>
      <w:pPr>
        <w:spacing w:line="324" w:lineRule="auto"/>
        <w:ind w:firstLine="446"/>
        <w:jc w:val="center"/>
        <w:rPr>
          <w:rFonts w:hint="eastAsia" w:ascii="仿宋_GB2312" w:hAnsi="仿宋_GB2312" w:eastAsia="仿宋_GB2312" w:cs="仿宋_GB2312"/>
          <w:b/>
          <w:bCs/>
          <w:sz w:val="21"/>
          <w:szCs w:val="21"/>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表2-11  住宅用地使用年期修正系数表</w:t>
      </w:r>
    </w:p>
    <w:tbl>
      <w:tblPr>
        <w:tblStyle w:val="14"/>
        <w:tblW w:w="4998"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6"/>
        <w:gridCol w:w="1110"/>
        <w:gridCol w:w="1110"/>
        <w:gridCol w:w="1110"/>
        <w:gridCol w:w="1111"/>
        <w:gridCol w:w="1111"/>
        <w:gridCol w:w="1111"/>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0.0561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0.1091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0.1591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0.2064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0.2512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0.2934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0.3333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0.3711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0.4067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0.4404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0.4723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0.5024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0.5308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0.5577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0.5831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0.6071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0.6298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0.6512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0.6714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0.6906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0.7087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0.7258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0.7419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0.7572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0.7716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0.7852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0.7981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0.8103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0.8218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0.8327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0.8429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0.8526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0.8618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0.8705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0.8787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0.8864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0.8937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0.9006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0.9072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0.9134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0.9192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0.9247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0.9299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0.9348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0.9395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0.9439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0.9557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0.9592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0.9625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0.9656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0.9686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0.9714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0.9765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0.9789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0.9811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0.9832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0.9871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0.9889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0.9906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0.9921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0.9936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0.9951</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0.9964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0.9977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0.9989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bl>
    <w:p>
      <w:pPr>
        <w:bidi w:val="0"/>
        <w:rPr>
          <w:rFonts w:hint="eastAsia"/>
        </w:rPr>
      </w:pPr>
      <w:r>
        <w:rPr>
          <w:rFonts w:hint="eastAsia"/>
          <w:lang w:val="en-US" w:eastAsia="zh-CN"/>
        </w:rPr>
        <w:t>3、</w:t>
      </w:r>
      <w:r>
        <w:rPr>
          <w:rFonts w:hint="eastAsia"/>
        </w:rPr>
        <w:t>宗地面积状况修正系数</w:t>
      </w:r>
    </w:p>
    <w:p>
      <w:pPr>
        <w:bidi w:val="0"/>
        <w:rPr>
          <w:rFonts w:hint="eastAsia"/>
        </w:rPr>
      </w:pPr>
      <w:r>
        <w:rPr>
          <w:rFonts w:hint="eastAsia"/>
        </w:rPr>
        <w:t>住宅用地宗地面积状况修正体系见表2-12。</w:t>
      </w:r>
    </w:p>
    <w:p>
      <w:pPr>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表2-12  住宅用地宗地面积状况修正体系</w:t>
      </w:r>
    </w:p>
    <w:tbl>
      <w:tblPr>
        <w:tblStyle w:val="14"/>
        <w:tblW w:w="507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7"/>
        <w:gridCol w:w="1414"/>
        <w:gridCol w:w="1414"/>
        <w:gridCol w:w="1414"/>
        <w:gridCol w:w="1414"/>
        <w:gridCol w:w="14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指标标准</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准说明</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面积适中，对土地利用极为有利</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面积对土地利用较为有利</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面积对土地利用无不良影响</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面积较小，对土地利用有一定影响</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030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015</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000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985</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970</w:t>
            </w:r>
          </w:p>
        </w:tc>
      </w:tr>
    </w:tbl>
    <w:p>
      <w:pPr>
        <w:bidi w:val="0"/>
        <w:rPr>
          <w:rFonts w:hint="eastAsia"/>
        </w:rPr>
      </w:pPr>
      <w:r>
        <w:rPr>
          <w:rFonts w:hint="eastAsia"/>
          <w:lang w:val="en-US" w:eastAsia="zh-CN"/>
        </w:rPr>
        <w:t>4、</w:t>
      </w:r>
      <w:r>
        <w:rPr>
          <w:rFonts w:hint="eastAsia"/>
        </w:rPr>
        <w:t>宗地形状状况修正系数</w:t>
      </w:r>
    </w:p>
    <w:p>
      <w:pPr>
        <w:bidi w:val="0"/>
        <w:rPr>
          <w:rFonts w:hint="eastAsia"/>
        </w:rPr>
      </w:pPr>
      <w:r>
        <w:rPr>
          <w:rFonts w:hint="eastAsia"/>
        </w:rPr>
        <w:t>住宅用地地价宗地形状状况修正体系见表2-13。</w:t>
      </w:r>
    </w:p>
    <w:p>
      <w:pPr>
        <w:pStyle w:val="21"/>
        <w:bidi w:val="0"/>
        <w:rPr>
          <w:rFonts w:hint="eastAsia"/>
        </w:rPr>
      </w:pPr>
      <w:r>
        <w:rPr>
          <w:rFonts w:hint="eastAsia"/>
        </w:rPr>
        <w:t>表2-13住宅用地宗地形状状况修正体系</w:t>
      </w:r>
    </w:p>
    <w:tbl>
      <w:tblPr>
        <w:tblStyle w:val="14"/>
        <w:tblW w:w="5076" w:type="pct"/>
        <w:tblInd w:w="-12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1418"/>
        <w:gridCol w:w="1417"/>
        <w:gridCol w:w="1418"/>
        <w:gridCol w:w="1275"/>
        <w:gridCol w:w="15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指标标准</w:t>
            </w:r>
          </w:p>
        </w:tc>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3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75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96"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准说明</w:t>
            </w:r>
          </w:p>
        </w:tc>
        <w:tc>
          <w:tcPr>
            <w:tcW w:w="838"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形状规则，对土地利用</w:t>
            </w:r>
          </w:p>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合理</w:t>
            </w:r>
          </w:p>
        </w:tc>
        <w:tc>
          <w:tcPr>
            <w:tcW w:w="837"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土地利用较为合理</w:t>
            </w:r>
          </w:p>
        </w:tc>
        <w:tc>
          <w:tcPr>
            <w:tcW w:w="838"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土地利用无不良影响</w:t>
            </w:r>
          </w:p>
        </w:tc>
        <w:tc>
          <w:tcPr>
            <w:tcW w:w="753"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形状不规则，对土地利用不合理</w:t>
            </w:r>
          </w:p>
        </w:tc>
        <w:tc>
          <w:tcPr>
            <w:tcW w:w="896"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838"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w:t>
            </w:r>
          </w:p>
        </w:tc>
        <w:tc>
          <w:tcPr>
            <w:tcW w:w="837"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w:t>
            </w:r>
          </w:p>
        </w:tc>
        <w:tc>
          <w:tcPr>
            <w:tcW w:w="838"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753"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0.980</w:t>
            </w:r>
          </w:p>
        </w:tc>
        <w:tc>
          <w:tcPr>
            <w:tcW w:w="896"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0.960</w:t>
            </w:r>
          </w:p>
        </w:tc>
      </w:tr>
    </w:tbl>
    <w:p>
      <w:pPr>
        <w:bidi w:val="0"/>
        <w:rPr>
          <w:rFonts w:hint="eastAsia"/>
        </w:rPr>
      </w:pPr>
      <w:r>
        <w:rPr>
          <w:rFonts w:hint="eastAsia"/>
          <w:lang w:val="en-US" w:eastAsia="zh-CN"/>
        </w:rPr>
        <w:t>5、</w:t>
      </w:r>
      <w:r>
        <w:rPr>
          <w:rFonts w:hint="eastAsia"/>
        </w:rPr>
        <w:t>容积率修正</w:t>
      </w:r>
    </w:p>
    <w:p>
      <w:pPr>
        <w:bidi w:val="0"/>
        <w:rPr>
          <w:rFonts w:hint="eastAsia"/>
        </w:rPr>
      </w:pPr>
      <w:r>
        <w:rPr>
          <w:rFonts w:hint="eastAsia"/>
        </w:rPr>
        <w:t>根据基准地价内涵，住宅用地平均容积率</w:t>
      </w:r>
      <w:r>
        <w:rPr>
          <w:rFonts w:hint="eastAsia"/>
          <w:lang w:val="en-US" w:eastAsia="zh-CN"/>
        </w:rPr>
        <w:t>1.0</w:t>
      </w:r>
      <w:r>
        <w:rPr>
          <w:rFonts w:hint="eastAsia"/>
        </w:rPr>
        <w:t>。容积率修正系数的计算方法同商服用地。结果表2-14。对于不同容积率情况下发生的样点地价，修正到设定的容积率的价格。修正计算公式见商服用地样点容积率修正。</w:t>
      </w:r>
    </w:p>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表2-14住宅用地样点容积率修正系数表</w:t>
      </w:r>
    </w:p>
    <w:tbl>
      <w:tblPr>
        <w:tblStyle w:val="14"/>
        <w:tblW w:w="8720" w:type="dxa"/>
        <w:tblInd w:w="0" w:type="dxa"/>
        <w:tblLayout w:type="fixed"/>
        <w:tblCellMar>
          <w:top w:w="0" w:type="dxa"/>
          <w:left w:w="108" w:type="dxa"/>
          <w:bottom w:w="0" w:type="dxa"/>
          <w:right w:w="108" w:type="dxa"/>
        </w:tblCellMar>
      </w:tblPr>
      <w:tblGrid>
        <w:gridCol w:w="1246"/>
        <w:gridCol w:w="1246"/>
        <w:gridCol w:w="1246"/>
        <w:gridCol w:w="1246"/>
        <w:gridCol w:w="1246"/>
        <w:gridCol w:w="1245"/>
        <w:gridCol w:w="1245"/>
      </w:tblGrid>
      <w:tr>
        <w:tblPrEx>
          <w:tblCellMar>
            <w:top w:w="0" w:type="dxa"/>
            <w:left w:w="108" w:type="dxa"/>
            <w:bottom w:w="0" w:type="dxa"/>
            <w:right w:w="108" w:type="dxa"/>
          </w:tblCellMar>
        </w:tblPrEx>
        <w:trPr>
          <w:trHeight w:val="454" w:hRule="atLeast"/>
        </w:trPr>
        <w:tc>
          <w:tcPr>
            <w:tcW w:w="1246" w:type="dxa"/>
            <w:tcBorders>
              <w:top w:val="doub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0.20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0.30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w:t>
            </w:r>
          </w:p>
        </w:tc>
        <w:tc>
          <w:tcPr>
            <w:tcW w:w="1245"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0.60</w:t>
            </w:r>
          </w:p>
        </w:tc>
        <w:tc>
          <w:tcPr>
            <w:tcW w:w="1245" w:type="dxa"/>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0.70</w:t>
            </w:r>
          </w:p>
        </w:tc>
      </w:tr>
      <w:tr>
        <w:tblPrEx>
          <w:tblCellMar>
            <w:top w:w="0" w:type="dxa"/>
            <w:left w:w="108" w:type="dxa"/>
            <w:bottom w:w="0" w:type="dxa"/>
            <w:right w:w="108" w:type="dxa"/>
          </w:tblCellMar>
        </w:tblPrEx>
        <w:trPr>
          <w:trHeight w:val="454"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0.4359</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0.5095</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0.5823</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0.6542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0.7251</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0.7952</w:t>
            </w:r>
          </w:p>
        </w:tc>
      </w:tr>
      <w:tr>
        <w:tblPrEx>
          <w:tblCellMar>
            <w:top w:w="0" w:type="dxa"/>
            <w:left w:w="108" w:type="dxa"/>
            <w:bottom w:w="0" w:type="dxa"/>
            <w:right w:w="108" w:type="dxa"/>
          </w:tblCellMar>
        </w:tblPrEx>
        <w:trPr>
          <w:trHeight w:val="454"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1.30</w:t>
            </w:r>
          </w:p>
        </w:tc>
      </w:tr>
      <w:tr>
        <w:tblPrEx>
          <w:tblCellMar>
            <w:top w:w="0" w:type="dxa"/>
            <w:left w:w="108" w:type="dxa"/>
            <w:bottom w:w="0" w:type="dxa"/>
            <w:right w:w="108" w:type="dxa"/>
          </w:tblCellMar>
        </w:tblPrEx>
        <w:trPr>
          <w:trHeight w:val="454"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0.8643</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0.9326</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1.0000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1.0665</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1.1321</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1.1968</w:t>
            </w:r>
          </w:p>
        </w:tc>
      </w:tr>
      <w:tr>
        <w:tblPrEx>
          <w:tblCellMar>
            <w:top w:w="0" w:type="dxa"/>
            <w:left w:w="108" w:type="dxa"/>
            <w:bottom w:w="0" w:type="dxa"/>
            <w:right w:w="108" w:type="dxa"/>
          </w:tblCellMar>
        </w:tblPrEx>
        <w:trPr>
          <w:trHeight w:val="454"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w:t>
            </w:r>
          </w:p>
        </w:tc>
      </w:tr>
      <w:tr>
        <w:tblPrEx>
          <w:tblCellMar>
            <w:top w:w="0" w:type="dxa"/>
            <w:left w:w="108" w:type="dxa"/>
            <w:bottom w:w="0" w:type="dxa"/>
            <w:right w:w="108" w:type="dxa"/>
          </w:tblCellMar>
        </w:tblPrEx>
        <w:trPr>
          <w:trHeight w:val="454"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1.2606</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1.3235</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1.3855</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1.4466</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1.5068</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1.5662</w:t>
            </w:r>
          </w:p>
        </w:tc>
      </w:tr>
      <w:tr>
        <w:tblPrEx>
          <w:tblCellMar>
            <w:top w:w="0" w:type="dxa"/>
            <w:left w:w="108" w:type="dxa"/>
            <w:bottom w:w="0" w:type="dxa"/>
            <w:right w:w="108" w:type="dxa"/>
          </w:tblCellMar>
        </w:tblPrEx>
        <w:trPr>
          <w:trHeight w:val="454"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2.50</w:t>
            </w:r>
          </w:p>
        </w:tc>
      </w:tr>
      <w:tr>
        <w:tblPrEx>
          <w:tblCellMar>
            <w:top w:w="0" w:type="dxa"/>
            <w:left w:w="108" w:type="dxa"/>
            <w:bottom w:w="0" w:type="dxa"/>
            <w:right w:w="108" w:type="dxa"/>
          </w:tblCellMar>
        </w:tblPrEx>
        <w:trPr>
          <w:trHeight w:val="454"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1.6247</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1.6822</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1.7389</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1.7946</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1.8495</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1.9035</w:t>
            </w:r>
          </w:p>
        </w:tc>
      </w:tr>
      <w:tr>
        <w:tblPrEx>
          <w:tblCellMar>
            <w:top w:w="0" w:type="dxa"/>
            <w:left w:w="108" w:type="dxa"/>
            <w:bottom w:w="0" w:type="dxa"/>
            <w:right w:w="108" w:type="dxa"/>
          </w:tblCellMar>
        </w:tblPrEx>
        <w:trPr>
          <w:trHeight w:val="454"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2.70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2.90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3.10</w:t>
            </w:r>
          </w:p>
        </w:tc>
      </w:tr>
      <w:tr>
        <w:tblPrEx>
          <w:tblCellMar>
            <w:top w:w="0" w:type="dxa"/>
            <w:left w:w="108" w:type="dxa"/>
            <w:bottom w:w="0" w:type="dxa"/>
            <w:right w:w="108" w:type="dxa"/>
          </w:tblCellMar>
        </w:tblPrEx>
        <w:trPr>
          <w:trHeight w:val="454" w:hRule="atLeast"/>
        </w:trPr>
        <w:tc>
          <w:tcPr>
            <w:tcW w:w="1246" w:type="dxa"/>
            <w:tcBorders>
              <w:top w:val="single" w:color="auto" w:sz="4" w:space="0"/>
              <w:left w:val="double" w:color="auto" w:sz="4" w:space="0"/>
              <w:bottom w:val="doub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1.9566</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2.0087</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2.0600</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2.1104</w:t>
            </w:r>
          </w:p>
        </w:tc>
        <w:tc>
          <w:tcPr>
            <w:tcW w:w="1245"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2.1600</w:t>
            </w:r>
          </w:p>
        </w:tc>
        <w:tc>
          <w:tcPr>
            <w:tcW w:w="1245" w:type="dxa"/>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2.2086</w:t>
            </w:r>
          </w:p>
        </w:tc>
      </w:tr>
    </w:tbl>
    <w:p>
      <w:pPr>
        <w:bidi w:val="0"/>
        <w:rPr>
          <w:rFonts w:hint="eastAsia"/>
        </w:rPr>
      </w:pPr>
      <w:r>
        <w:rPr>
          <w:rFonts w:hint="eastAsia"/>
        </w:rPr>
        <w:t>①容积率小于或等于0.2时按容积率等于0.2时的计算；容积率大于或等于3.1时按容积率等于3.1时的计算。②当容积率介于上述所列的容积率之间时，可用直线内插法确定其对应的修正系数。</w:t>
      </w:r>
    </w:p>
    <w:p>
      <w:pPr>
        <w:bidi w:val="0"/>
        <w:rPr>
          <w:rFonts w:hint="eastAsia"/>
        </w:rPr>
      </w:pPr>
      <w:r>
        <w:rPr>
          <w:rFonts w:hint="eastAsia"/>
          <w:lang w:val="en-US" w:eastAsia="zh-CN"/>
        </w:rPr>
        <w:t>6、</w:t>
      </w:r>
      <w:r>
        <w:rPr>
          <w:rFonts w:hint="eastAsia"/>
        </w:rPr>
        <w:t>基础设施修正</w:t>
      </w:r>
    </w:p>
    <w:p>
      <w:pPr>
        <w:bidi w:val="0"/>
        <w:rPr>
          <w:rFonts w:hint="eastAsia"/>
        </w:rPr>
      </w:pPr>
      <w:r>
        <w:rPr>
          <w:rFonts w:hint="eastAsia"/>
        </w:rPr>
        <w:t>白脑包镇的住宅用地基准地价设施设定开发程度均达到“五通一平”条件。若宗地基础设施配套程度修正没有达到该程度，利用基准地价来评估宗地地价时就应该减去相应的开发费用，反之则加上相应的开发费用。</w:t>
      </w:r>
    </w:p>
    <w:p>
      <w:pPr>
        <w:bidi w:val="0"/>
        <w:rPr>
          <w:rFonts w:hint="eastAsia"/>
        </w:rPr>
      </w:pPr>
      <w:r>
        <w:rPr>
          <w:rFonts w:hint="eastAsia"/>
        </w:rPr>
        <w:t>住宅用地宗地基础设施配套程度开发费用见表2-15。</w:t>
      </w:r>
    </w:p>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 xml:space="preserve"> 表2-15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9"/>
        <w:gridCol w:w="934"/>
        <w:gridCol w:w="1021"/>
        <w:gridCol w:w="697"/>
        <w:gridCol w:w="817"/>
        <w:gridCol w:w="750"/>
        <w:gridCol w:w="817"/>
        <w:gridCol w:w="11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基础设施状况</w:t>
            </w:r>
          </w:p>
        </w:tc>
        <w:tc>
          <w:tcPr>
            <w:tcW w:w="41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通电</w:t>
            </w:r>
          </w:p>
        </w:tc>
        <w:tc>
          <w:tcPr>
            <w:tcW w:w="54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通上水</w:t>
            </w:r>
          </w:p>
        </w:tc>
        <w:tc>
          <w:tcPr>
            <w:tcW w:w="59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通下水</w:t>
            </w:r>
          </w:p>
        </w:tc>
        <w:tc>
          <w:tcPr>
            <w:tcW w:w="40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通讯</w:t>
            </w:r>
          </w:p>
        </w:tc>
        <w:tc>
          <w:tcPr>
            <w:tcW w:w="47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通气</w:t>
            </w:r>
          </w:p>
        </w:tc>
        <w:tc>
          <w:tcPr>
            <w:tcW w:w="44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通路</w:t>
            </w:r>
          </w:p>
        </w:tc>
        <w:tc>
          <w:tcPr>
            <w:tcW w:w="47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通热</w:t>
            </w:r>
          </w:p>
        </w:tc>
        <w:tc>
          <w:tcPr>
            <w:tcW w:w="68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开发费用</w:t>
            </w:r>
          </w:p>
        </w:tc>
        <w:tc>
          <w:tcPr>
            <w:tcW w:w="41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4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9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0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7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4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47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68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rPr>
      </w:pPr>
      <w:bookmarkStart w:id="44" w:name="_Toc15715"/>
      <w:r>
        <w:rPr>
          <w:rFonts w:hint="eastAsia"/>
          <w:lang w:eastAsia="zh-CN"/>
        </w:rPr>
        <w:t>三</w:t>
      </w:r>
      <w:r>
        <w:rPr>
          <w:rFonts w:hint="eastAsia"/>
        </w:rPr>
        <w:t>、工业用地基准地价个别因素修正体系</w:t>
      </w:r>
      <w:bookmarkEnd w:id="44"/>
    </w:p>
    <w:p>
      <w:pPr>
        <w:bidi w:val="0"/>
        <w:rPr>
          <w:rFonts w:hint="eastAsia"/>
        </w:rPr>
      </w:pPr>
      <w:r>
        <w:rPr>
          <w:rFonts w:hint="eastAsia"/>
          <w:lang w:val="en-US" w:eastAsia="zh-CN"/>
        </w:rPr>
        <w:t>1、</w:t>
      </w:r>
      <w:r>
        <w:rPr>
          <w:rFonts w:hint="eastAsia"/>
        </w:rPr>
        <w:t>交易期日修正系数</w:t>
      </w:r>
    </w:p>
    <w:p>
      <w:pPr>
        <w:bidi w:val="0"/>
        <w:rPr>
          <w:rFonts w:hint="eastAsia"/>
        </w:rPr>
      </w:pPr>
      <w:r>
        <w:rPr>
          <w:rFonts w:hint="eastAsia"/>
        </w:rPr>
        <w:t>工业用地交易期日修正系数见表2-16。</w:t>
      </w:r>
    </w:p>
    <w:p>
      <w:pPr>
        <w:pStyle w:val="21"/>
        <w:bidi w:val="0"/>
        <w:rPr>
          <w:rFonts w:hint="eastAsia"/>
        </w:rPr>
      </w:pPr>
      <w:r>
        <w:rPr>
          <w:rFonts w:hint="eastAsia"/>
        </w:rPr>
        <w:t>表2-16  住宅用地交易期日修正系数表</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交易期日</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2014</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2015</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2017</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2018</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2019</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2020</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修正系数</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rPr>
      </w:pPr>
      <w:r>
        <w:rPr>
          <w:rFonts w:hint="eastAsia"/>
        </w:rPr>
        <w:t>工业用地地价的评估时日修正方法同商服用地修正方法。</w:t>
      </w:r>
    </w:p>
    <w:p>
      <w:pPr>
        <w:bidi w:val="0"/>
        <w:rPr>
          <w:rFonts w:hint="eastAsia"/>
        </w:rPr>
      </w:pPr>
      <w:r>
        <w:rPr>
          <w:rFonts w:hint="eastAsia"/>
          <w:lang w:val="en-US" w:eastAsia="zh-CN"/>
        </w:rPr>
        <w:t>2、</w:t>
      </w:r>
      <w:r>
        <w:rPr>
          <w:rFonts w:hint="eastAsia"/>
        </w:rPr>
        <w:t>土地使用年期修正</w:t>
      </w:r>
    </w:p>
    <w:p>
      <w:pPr>
        <w:bidi w:val="0"/>
        <w:rPr>
          <w:rFonts w:hint="eastAsia"/>
        </w:rPr>
      </w:pPr>
      <w:r>
        <w:rPr>
          <w:rFonts w:hint="eastAsia"/>
        </w:rPr>
        <w:t>按照工业用地土地还原率4.85%，法定最高出让年期为50年，计算工业用地使用年期修正系数，工业用地使用年期修正系数计算过程参见商服用地年期修正。</w:t>
      </w:r>
    </w:p>
    <w:p>
      <w:pPr>
        <w:bidi w:val="0"/>
        <w:rPr>
          <w:rFonts w:hint="eastAsia"/>
        </w:rPr>
      </w:pPr>
      <w:r>
        <w:rPr>
          <w:rFonts w:hint="eastAsia"/>
        </w:rPr>
        <w:t>工业用地地价土地使用权可使用年期地价修正系数见表2-17。</w:t>
      </w:r>
    </w:p>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表2-17工业用地使用年期修正系数表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1560"/>
        <w:gridCol w:w="1159"/>
        <w:gridCol w:w="1160"/>
        <w:gridCol w:w="1160"/>
        <w:gridCol w:w="1160"/>
        <w:gridCol w:w="1160"/>
        <w:gridCol w:w="1160"/>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0.051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0.0997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0.1461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0.1904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0.2326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0.2729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0.3113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0.348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0.3829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0.4162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0.448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0.4783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0.5072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0.5348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0.5611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0.5862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0.6101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0.6329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0.6547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0.6754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0.6952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0.7141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0.7321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0.7493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0.7657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0.7813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0.7962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0.8104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0.8239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0.8369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0.8492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0.861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0.8722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0.8829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0.8931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0.9028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40</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0.9121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0.9209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0.9293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0.9374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0.9451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0.9524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0.9594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0.966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0.9724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0.9784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0.9842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0.9897</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50</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0.995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bl>
    <w:p>
      <w:pPr>
        <w:bidi w:val="0"/>
        <w:rPr>
          <w:rFonts w:hint="eastAsia"/>
        </w:rPr>
      </w:pPr>
      <w:r>
        <w:rPr>
          <w:rFonts w:hint="eastAsia"/>
          <w:lang w:val="en-US" w:eastAsia="zh-CN"/>
        </w:rPr>
        <w:t>3、</w:t>
      </w:r>
      <w:r>
        <w:rPr>
          <w:rFonts w:hint="eastAsia"/>
        </w:rPr>
        <w:t>基础设施修正</w:t>
      </w:r>
    </w:p>
    <w:p>
      <w:pPr>
        <w:bidi w:val="0"/>
        <w:rPr>
          <w:rFonts w:hint="eastAsia"/>
        </w:rPr>
      </w:pPr>
      <w:r>
        <w:rPr>
          <w:rFonts w:hint="eastAsia"/>
        </w:rPr>
        <w:t>白脑包镇的工业用地基准地价设施设定开发程度均达到“四通一平”条件。若宗地基础设施配套程度修正没有达到该程度，利用基准地价来评估宗地地价时就应该减去相应的开发费用，反之则加上相应的开发费用。</w:t>
      </w:r>
    </w:p>
    <w:p>
      <w:pPr>
        <w:bidi w:val="0"/>
        <w:rPr>
          <w:rFonts w:hint="eastAsia"/>
        </w:rPr>
      </w:pPr>
      <w:r>
        <w:rPr>
          <w:rFonts w:hint="eastAsia"/>
        </w:rPr>
        <w:t>工业用地宗地基础设施配套程度开发费用见表2-18。</w:t>
      </w:r>
    </w:p>
    <w:p>
      <w:pPr>
        <w:pStyle w:val="21"/>
        <w:bidi w:val="0"/>
        <w:rPr>
          <w:rFonts w:hint="eastAsia"/>
        </w:rPr>
      </w:pPr>
      <w:r>
        <w:rPr>
          <w:rFonts w:hint="eastAsia"/>
        </w:rPr>
        <w:t>表2-18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14"/>
        <w:gridCol w:w="955"/>
        <w:gridCol w:w="955"/>
        <w:gridCol w:w="714"/>
        <w:gridCol w:w="796"/>
        <w:gridCol w:w="714"/>
        <w:gridCol w:w="796"/>
        <w:gridCol w:w="119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bookmarkStart w:id="45" w:name="_Toc438149092"/>
            <w:bookmarkStart w:id="46" w:name="_Toc492385479"/>
            <w:bookmarkStart w:id="47" w:name="_Toc438149410"/>
            <w:r>
              <w:rPr>
                <w:rFonts w:hint="eastAsia" w:ascii="仿宋_GB2312" w:hAnsi="仿宋_GB2312" w:eastAsia="仿宋_GB2312" w:cs="仿宋_GB2312"/>
                <w:kern w:val="0"/>
                <w:sz w:val="21"/>
                <w:szCs w:val="21"/>
              </w:rPr>
              <w:t>基础设施状况</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通电</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通上水</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通下水</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通讯</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通气</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通路</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通热</w:t>
            </w:r>
          </w:p>
        </w:tc>
        <w:tc>
          <w:tcPr>
            <w:tcW w:w="70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开发费用</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70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rPr>
      </w:pPr>
      <w:bookmarkStart w:id="48" w:name="_Toc25047"/>
      <w:r>
        <w:rPr>
          <w:rFonts w:hint="eastAsia"/>
          <w:lang w:eastAsia="zh-CN"/>
        </w:rPr>
        <w:t>四</w:t>
      </w:r>
      <w:r>
        <w:rPr>
          <w:rFonts w:hint="eastAsia"/>
        </w:rPr>
        <w:t>、修正系数表及因素指标说明表编制</w:t>
      </w:r>
      <w:bookmarkEnd w:id="45"/>
      <w:bookmarkEnd w:id="46"/>
      <w:bookmarkEnd w:id="47"/>
      <w:bookmarkEnd w:id="48"/>
    </w:p>
    <w:p>
      <w:pPr>
        <w:bidi w:val="0"/>
        <w:rPr>
          <w:rFonts w:hint="eastAsia"/>
        </w:rPr>
      </w:pPr>
      <w:r>
        <w:rPr>
          <w:rFonts w:hint="eastAsia"/>
        </w:rPr>
        <w:t>根据上述结果，以土地级别和土地用途为表头，优劣程度为主栏，影响地价的修正因素为副栏，分别编制白脑包镇各级别商服用地、住宅用地、工业用地区位影响因素说明表和相对应修正系数表。</w:t>
      </w:r>
    </w:p>
    <w:p>
      <w:pPr>
        <w:pStyle w:val="21"/>
        <w:bidi w:val="0"/>
        <w:jc w:val="center"/>
        <w:rPr>
          <w:rFonts w:hint="eastAsia"/>
        </w:rPr>
      </w:pPr>
      <w:r>
        <w:rPr>
          <w:rFonts w:hint="eastAsia"/>
        </w:rPr>
        <w:t>表2-19白脑包镇Ⅰ级商服用地区位因素修正系数指标说明表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743"/>
        <w:gridCol w:w="993"/>
        <w:gridCol w:w="1070"/>
        <w:gridCol w:w="1501"/>
        <w:gridCol w:w="1230"/>
        <w:gridCol w:w="8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因素</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素层</w:t>
            </w:r>
          </w:p>
        </w:tc>
        <w:tc>
          <w:tcPr>
            <w:tcW w:w="102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8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2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88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2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10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58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&lt;70</w:t>
            </w:r>
          </w:p>
        </w:tc>
        <w:tc>
          <w:tcPr>
            <w:tcW w:w="62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70-140</w:t>
            </w:r>
          </w:p>
        </w:tc>
        <w:tc>
          <w:tcPr>
            <w:tcW w:w="88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140-210</w:t>
            </w:r>
          </w:p>
        </w:tc>
        <w:tc>
          <w:tcPr>
            <w:tcW w:w="72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210-280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10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2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10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2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2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8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&lt;60</w:t>
            </w:r>
          </w:p>
        </w:tc>
        <w:tc>
          <w:tcPr>
            <w:tcW w:w="62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60-120</w:t>
            </w:r>
          </w:p>
        </w:tc>
        <w:tc>
          <w:tcPr>
            <w:tcW w:w="88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120-180</w:t>
            </w:r>
          </w:p>
        </w:tc>
        <w:tc>
          <w:tcPr>
            <w:tcW w:w="72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180-240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10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2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8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7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2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表2-20 白脑包镇Ⅰ级商服用地基准地价修正系数表</w:t>
      </w:r>
    </w:p>
    <w:tbl>
      <w:tblPr>
        <w:tblStyle w:val="14"/>
        <w:tblW w:w="500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3"/>
        <w:gridCol w:w="1220"/>
        <w:gridCol w:w="1220"/>
        <w:gridCol w:w="1221"/>
        <w:gridCol w:w="1221"/>
        <w:gridCol w:w="1221"/>
        <w:gridCol w:w="12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-0.0237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-0.0085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bl>
    <w:p>
      <w:pPr>
        <w:pStyle w:val="21"/>
        <w:bidi w:val="0"/>
        <w:rPr>
          <w:rFonts w:hint="eastAsia"/>
        </w:rPr>
      </w:pPr>
      <w:r>
        <w:rPr>
          <w:rFonts w:hint="eastAsia"/>
        </w:rPr>
        <w:t>表2-21 白脑包镇Ⅱ级商服用地区位因素修正系数指标说明表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42"/>
        <w:gridCol w:w="1742"/>
        <w:gridCol w:w="993"/>
        <w:gridCol w:w="768"/>
        <w:gridCol w:w="2191"/>
        <w:gridCol w:w="843"/>
        <w:gridCol w:w="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因素层</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0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82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9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0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0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&lt;200</w:t>
            </w:r>
          </w:p>
        </w:tc>
        <w:tc>
          <w:tcPr>
            <w:tcW w:w="6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200-330</w:t>
            </w:r>
          </w:p>
        </w:tc>
        <w:tc>
          <w:tcPr>
            <w:tcW w:w="82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330-460</w:t>
            </w:r>
          </w:p>
        </w:tc>
        <w:tc>
          <w:tcPr>
            <w:tcW w:w="6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460-590</w:t>
            </w:r>
          </w:p>
        </w:tc>
        <w:tc>
          <w:tcPr>
            <w:tcW w:w="50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0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&lt;180</w:t>
            </w:r>
          </w:p>
        </w:tc>
        <w:tc>
          <w:tcPr>
            <w:tcW w:w="6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180-300</w:t>
            </w:r>
          </w:p>
        </w:tc>
        <w:tc>
          <w:tcPr>
            <w:tcW w:w="82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300-420</w:t>
            </w:r>
          </w:p>
        </w:tc>
        <w:tc>
          <w:tcPr>
            <w:tcW w:w="6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420-540</w:t>
            </w:r>
          </w:p>
        </w:tc>
        <w:tc>
          <w:tcPr>
            <w:tcW w:w="50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8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5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表2-22 白脑包镇Ⅱ级商服用地基准地价修正系数表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-0.0178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-0.0356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0.0092</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-0.0128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-0.0255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-0.0094</w:t>
            </w:r>
          </w:p>
        </w:tc>
      </w:tr>
    </w:tbl>
    <w:p>
      <w:pPr>
        <w:pStyle w:val="21"/>
        <w:bidi w:val="0"/>
        <w:rPr>
          <w:rFonts w:hint="eastAsia"/>
        </w:rPr>
      </w:pPr>
      <w:r>
        <w:rPr>
          <w:rFonts w:hint="eastAsia"/>
        </w:rPr>
        <w:t>表2-23白脑包镇Ⅲ级商服用地区位因素修正系数指标说明表</w:t>
      </w:r>
    </w:p>
    <w:tbl>
      <w:tblPr>
        <w:tblStyle w:val="14"/>
        <w:tblpPr w:leftFromText="180" w:rightFromText="180" w:vertAnchor="text" w:horzAnchor="page" w:tblpX="1755" w:tblpY="34"/>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733"/>
        <w:gridCol w:w="987"/>
        <w:gridCol w:w="1160"/>
        <w:gridCol w:w="1567"/>
        <w:gridCol w:w="1102"/>
        <w:gridCol w:w="83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101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7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8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10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57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&lt;580</w:t>
            </w:r>
          </w:p>
        </w:tc>
        <w:tc>
          <w:tcPr>
            <w:tcW w:w="68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580-860</w:t>
            </w:r>
          </w:p>
        </w:tc>
        <w:tc>
          <w:tcPr>
            <w:tcW w:w="91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860-1140</w:t>
            </w:r>
          </w:p>
        </w:tc>
        <w:tc>
          <w:tcPr>
            <w:tcW w:w="64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1140-1420</w:t>
            </w:r>
          </w:p>
        </w:tc>
        <w:tc>
          <w:tcPr>
            <w:tcW w:w="4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10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6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10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7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&lt;540</w:t>
            </w:r>
          </w:p>
        </w:tc>
        <w:tc>
          <w:tcPr>
            <w:tcW w:w="68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540-790</w:t>
            </w:r>
          </w:p>
        </w:tc>
        <w:tc>
          <w:tcPr>
            <w:tcW w:w="91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790-1040</w:t>
            </w:r>
          </w:p>
        </w:tc>
        <w:tc>
          <w:tcPr>
            <w:tcW w:w="64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1040-1290</w:t>
            </w:r>
          </w:p>
        </w:tc>
        <w:tc>
          <w:tcPr>
            <w:tcW w:w="4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&gt;1290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6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10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表2-24白脑包镇Ⅲ级商服用地基准地价修正系数表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bl>
    <w:p>
      <w:pPr>
        <w:pStyle w:val="21"/>
        <w:bidi w:val="0"/>
        <w:rPr>
          <w:rFonts w:hint="eastAsia"/>
        </w:rPr>
      </w:pPr>
      <w:r>
        <w:rPr>
          <w:rFonts w:hint="eastAsia"/>
        </w:rPr>
        <w:t>表2-25白脑包镇Ⅰ级住宅用地区位因素修正系数指标说明表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96"/>
        <w:gridCol w:w="1664"/>
        <w:gridCol w:w="953"/>
        <w:gridCol w:w="953"/>
        <w:gridCol w:w="2091"/>
        <w:gridCol w:w="953"/>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91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80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7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9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9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80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7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75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4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9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9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8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7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8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7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9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80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7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75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4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9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80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7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75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59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&lt;110</w:t>
            </w:r>
          </w:p>
        </w:tc>
        <w:tc>
          <w:tcPr>
            <w:tcW w:w="80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110-220</w:t>
            </w:r>
          </w:p>
        </w:tc>
        <w:tc>
          <w:tcPr>
            <w:tcW w:w="7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220-330</w:t>
            </w:r>
          </w:p>
        </w:tc>
        <w:tc>
          <w:tcPr>
            <w:tcW w:w="75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330-440</w:t>
            </w:r>
          </w:p>
        </w:tc>
        <w:tc>
          <w:tcPr>
            <w:tcW w:w="4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9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80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7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75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912"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8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7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7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12"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表2-26白脑包镇Ⅰ级住宅用地基准地价修正系数表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pStyle w:val="21"/>
        <w:bidi w:val="0"/>
        <w:rPr>
          <w:rFonts w:hint="eastAsia"/>
        </w:rPr>
      </w:pPr>
      <w:r>
        <w:rPr>
          <w:rFonts w:hint="eastAsia"/>
        </w:rPr>
        <w:t>表2-27白脑包镇Ⅱ级住宅用地区位因素修正系数指标说明表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664"/>
        <w:gridCol w:w="953"/>
        <w:gridCol w:w="1088"/>
        <w:gridCol w:w="1956"/>
        <w:gridCol w:w="953"/>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5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3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4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55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1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6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11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1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&lt;390</w:t>
            </w:r>
          </w:p>
        </w:tc>
        <w:tc>
          <w:tcPr>
            <w:tcW w:w="6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390-550</w:t>
            </w:r>
          </w:p>
        </w:tc>
        <w:tc>
          <w:tcPr>
            <w:tcW w:w="11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550-710</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710-870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6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11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97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59"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38"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1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559"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6"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表2-28白脑包镇Ⅱ级住宅用地基准地价修正系数表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pStyle w:val="21"/>
        <w:bidi w:val="0"/>
        <w:rPr>
          <w:rFonts w:hint="eastAsia"/>
        </w:rPr>
      </w:pPr>
      <w:r>
        <w:rPr>
          <w:rFonts w:hint="eastAsia"/>
        </w:rPr>
        <w:t>表2-29白脑包镇Ⅰ级工业用地区位因素修正系数指标说明表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1034"/>
        <w:gridCol w:w="1808"/>
        <w:gridCol w:w="2000"/>
        <w:gridCol w:w="1100"/>
        <w:gridCol w:w="9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0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06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7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4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41"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0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0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0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0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0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1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0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0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1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0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表2-30白脑包镇Ⅰ级工业用地基准地价修正系数表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7"/>
        <w:gridCol w:w="1117"/>
        <w:gridCol w:w="1117"/>
        <w:gridCol w:w="1119"/>
        <w:gridCol w:w="1119"/>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pStyle w:val="21"/>
        <w:bidi w:val="0"/>
        <w:rPr>
          <w:rFonts w:hint="eastAsia"/>
        </w:rPr>
      </w:pPr>
      <w:r>
        <w:rPr>
          <w:rFonts w:hint="eastAsia"/>
        </w:rPr>
        <w:t>表2-31白脑包镇Ⅱ级工业用地区位因素修正系数指标说明表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975"/>
        <w:gridCol w:w="1973"/>
        <w:gridCol w:w="1943"/>
        <w:gridCol w:w="1151"/>
        <w:gridCol w:w="8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7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1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3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7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8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1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4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1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1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1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4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1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4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1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4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pPr>
      <w:r>
        <w:rPr>
          <w:rFonts w:hint="eastAsia"/>
        </w:rPr>
        <w:t>表2-32白脑包镇Ⅱ级工业用地基准地价修正系数表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7"/>
        <w:gridCol w:w="1117"/>
        <w:gridCol w:w="1117"/>
        <w:gridCol w:w="1119"/>
        <w:gridCol w:w="1119"/>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21"/>
        <w:bidi w:val="0"/>
        <w:rPr>
          <w:rFonts w:hint="eastAsia"/>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表2-33白脑包镇Ⅰ级公共服务项目用地I区位因素修正系数指标说明表</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8"/>
        <w:gridCol w:w="944"/>
        <w:gridCol w:w="1073"/>
        <w:gridCol w:w="1618"/>
        <w:gridCol w:w="1633"/>
        <w:gridCol w:w="1334"/>
        <w:gridCol w:w="10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1073"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618"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633"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1334"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1062"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107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61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6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33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10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107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61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6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33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10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107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61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6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33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10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107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61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6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133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10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107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61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6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133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10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107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61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6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33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10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pPr>
      <w:r>
        <w:rPr>
          <w:rFonts w:hint="eastAsia"/>
        </w:rPr>
        <w:t>表2-34 白脑包镇Ⅰ级公共服务项目用地I基准地价修正系数表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0" w:firstLineChars="0"/>
        <w:jc w:val="center"/>
        <w:rPr>
          <w:rFonts w:hint="eastAsia" w:ascii="仿宋_GB2312" w:hAnsi="仿宋_GB2312" w:eastAsia="仿宋_GB2312" w:cs="仿宋_GB2312"/>
          <w:b/>
          <w:sz w:val="21"/>
          <w:szCs w:val="21"/>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表2-35白脑包镇Ⅱ级公共服务项目用地I区位因素修正系数指标说明表</w:t>
      </w:r>
    </w:p>
    <w:tbl>
      <w:tblPr>
        <w:tblStyle w:val="14"/>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7"/>
        <w:gridCol w:w="1052"/>
        <w:gridCol w:w="1216"/>
        <w:gridCol w:w="1450"/>
        <w:gridCol w:w="1733"/>
        <w:gridCol w:w="1413"/>
        <w:gridCol w:w="9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1052"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1216"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450"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733"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1413"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921"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105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121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45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7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105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121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45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7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5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121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45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7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105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121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45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7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105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121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45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7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5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121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45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73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pPr>
      <w:r>
        <w:rPr>
          <w:rFonts w:hint="eastAsia"/>
        </w:rPr>
        <w:t>表2-36 白脑包镇Ⅱ级公共服务项目用地I基准地价修正系数表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17"/>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0" w:num="1"/>
          <w:rtlGutter w:val="0"/>
          <w:docGrid w:type="lines" w:linePitch="312" w:charSpace="0"/>
        </w:sectPr>
      </w:pPr>
    </w:p>
    <w:p>
      <w:pPr>
        <w:pStyle w:val="21"/>
        <w:bidi w:val="0"/>
        <w:rPr>
          <w:rFonts w:hint="eastAsia"/>
        </w:rPr>
      </w:pPr>
      <w:r>
        <w:rPr>
          <w:rFonts w:hint="eastAsia"/>
        </w:rPr>
        <w:t>表2-37白脑包镇Ⅰ级公共服务项目用地II区位因素修正系数指标说明表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96"/>
        <w:gridCol w:w="1664"/>
        <w:gridCol w:w="953"/>
        <w:gridCol w:w="953"/>
        <w:gridCol w:w="2091"/>
        <w:gridCol w:w="953"/>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90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2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90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7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107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7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52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8" w:hRule="exact"/>
        </w:trPr>
        <w:tc>
          <w:tcPr>
            <w:tcW w:w="50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90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90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0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0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7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107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7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52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2" w:hRule="exact"/>
        </w:trPr>
        <w:tc>
          <w:tcPr>
            <w:tcW w:w="50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0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7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07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7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52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0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7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07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7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52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901"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73"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709"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709"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528"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01"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21"/>
        <w:bidi w:val="0"/>
        <w:rPr>
          <w:rFonts w:hint="eastAsia"/>
        </w:rPr>
      </w:pPr>
      <w:r>
        <w:rPr>
          <w:rFonts w:hint="eastAsia"/>
        </w:rPr>
        <w:t>表2-38 白脑包镇Ⅰ级公共服务项目用地II基准地价修正系数表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ind w:firstLine="0" w:firstLineChars="0"/>
        <w:jc w:val="center"/>
        <w:rPr>
          <w:rFonts w:hint="eastAsia" w:ascii="仿宋_GB2312" w:hAnsi="仿宋_GB2312" w:eastAsia="仿宋_GB2312" w:cs="仿宋_GB2312"/>
          <w:b/>
          <w:sz w:val="21"/>
          <w:szCs w:val="21"/>
        </w:rPr>
        <w:sectPr>
          <w:pgSz w:w="11906" w:h="16838"/>
          <w:pgMar w:top="1440" w:right="1800" w:bottom="1440" w:left="1800" w:header="851" w:footer="992" w:gutter="0"/>
          <w:pgNumType w:fmt="decimal"/>
          <w:cols w:space="0" w:num="1"/>
          <w:rtlGutter w:val="0"/>
          <w:docGrid w:type="lines" w:linePitch="312" w:charSpace="0"/>
        </w:sectPr>
      </w:pP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表2-39 白脑包镇Ⅱ级公共服务项目用地II区位因素修正系数指标说明表</w:t>
      </w:r>
    </w:p>
    <w:tbl>
      <w:tblPr>
        <w:tblStyle w:val="14"/>
        <w:tblW w:w="862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1"/>
        <w:gridCol w:w="1368"/>
        <w:gridCol w:w="996"/>
        <w:gridCol w:w="1080"/>
        <w:gridCol w:w="2120"/>
        <w:gridCol w:w="1263"/>
        <w:gridCol w:w="98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811"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996"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080"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2120"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1263"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986"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6" w:hRule="exact"/>
        </w:trPr>
        <w:tc>
          <w:tcPr>
            <w:tcW w:w="81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99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108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212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1263"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98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8" w:hRule="exact"/>
        </w:trPr>
        <w:tc>
          <w:tcPr>
            <w:tcW w:w="81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99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8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2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126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98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811"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99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8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2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26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98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99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8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2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26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98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99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108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212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1263"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98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2" w:hRule="exac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99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108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212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1263"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98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99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108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212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1263"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98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811"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1368" w:type="dxa"/>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996" w:type="dxa"/>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1080" w:type="dxa"/>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2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1263" w:type="dxa"/>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986" w:type="dxa"/>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99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8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2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126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98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表2-40 白脑包镇Ⅱ级公共服务项目用地II基准地价修正系数表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pStyle w:val="3"/>
        <w:bidi w:val="0"/>
        <w:rPr>
          <w:rFonts w:hint="eastAsia"/>
        </w:rPr>
      </w:pPr>
      <w:bookmarkStart w:id="49" w:name="_Toc8471"/>
      <w:bookmarkStart w:id="50" w:name="_Toc5370"/>
      <w:bookmarkStart w:id="51" w:name="_Toc13377"/>
      <w:bookmarkStart w:id="52" w:name="_Toc25462"/>
      <w:bookmarkStart w:id="53" w:name="_Toc20"/>
      <w:bookmarkStart w:id="54" w:name="_Toc18407"/>
      <w:bookmarkStart w:id="55" w:name="_Toc28406"/>
      <w:bookmarkStart w:id="56" w:name="_Toc445367184"/>
      <w:r>
        <w:rPr>
          <w:rFonts w:hint="eastAsia"/>
        </w:rPr>
        <w:t>第三章</w:t>
      </w:r>
      <w:r>
        <w:rPr>
          <w:rFonts w:hint="eastAsia"/>
          <w:lang w:val="en-US" w:eastAsia="zh-CN"/>
        </w:rPr>
        <w:t xml:space="preserve">  </w:t>
      </w:r>
      <w:r>
        <w:rPr>
          <w:rFonts w:hint="eastAsia"/>
        </w:rPr>
        <w:t>成果对比分析</w:t>
      </w:r>
      <w:bookmarkEnd w:id="49"/>
      <w:bookmarkEnd w:id="50"/>
      <w:bookmarkEnd w:id="51"/>
      <w:bookmarkEnd w:id="52"/>
      <w:bookmarkEnd w:id="53"/>
      <w:bookmarkEnd w:id="54"/>
      <w:bookmarkEnd w:id="55"/>
      <w:bookmarkEnd w:id="56"/>
    </w:p>
    <w:p>
      <w:pPr>
        <w:bidi w:val="0"/>
        <w:rPr>
          <w:rFonts w:hint="eastAsia"/>
        </w:rPr>
      </w:pPr>
      <w:r>
        <w:rPr>
          <w:rFonts w:hint="eastAsia"/>
        </w:rPr>
        <w:t>临河区白脑包镇2021年与2016年基准地价对比成果见表3-1。</w:t>
      </w:r>
    </w:p>
    <w:p>
      <w:pPr>
        <w:pStyle w:val="21"/>
        <w:bidi w:val="0"/>
        <w:rPr>
          <w:rFonts w:hint="eastAsia"/>
        </w:rPr>
      </w:pPr>
      <w:r>
        <w:rPr>
          <w:rFonts w:hint="eastAsia"/>
        </w:rPr>
        <w:t>表3-1临河区白脑包镇两次基准地价成果对比表</w:t>
      </w:r>
    </w:p>
    <w:p>
      <w:pPr>
        <w:tabs>
          <w:tab w:val="left" w:pos="705"/>
        </w:tabs>
        <w:spacing w:line="240" w:lineRule="auto"/>
        <w:ind w:firstLine="0" w:firstLineChars="0"/>
        <w:jc w:val="right"/>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rPr>
        <w:tab/>
      </w:r>
      <w:r>
        <w:rPr>
          <w:rFonts w:hint="eastAsia" w:ascii="仿宋_GB2312" w:hAnsi="仿宋_GB2312" w:eastAsia="仿宋_GB2312" w:cs="仿宋_GB2312"/>
          <w:sz w:val="21"/>
          <w:szCs w:val="21"/>
        </w:rPr>
        <w:t>单位：元/m</w:t>
      </w:r>
      <w:r>
        <w:rPr>
          <w:rFonts w:hint="eastAsia" w:ascii="仿宋_GB2312" w:hAnsi="仿宋_GB2312" w:eastAsia="仿宋_GB2312" w:cs="仿宋_GB2312"/>
          <w:sz w:val="21"/>
          <w:szCs w:val="21"/>
          <w:vertAlign w:val="superscript"/>
        </w:rPr>
        <w:t>2</w:t>
      </w:r>
    </w:p>
    <w:tbl>
      <w:tblPr>
        <w:tblStyle w:val="14"/>
        <w:tblpPr w:leftFromText="180" w:rightFromText="180" w:vertAnchor="text" w:horzAnchor="margin" w:tblpXSpec="center" w:tblpY="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052"/>
        <w:gridCol w:w="1043"/>
        <w:gridCol w:w="1045"/>
        <w:gridCol w:w="1043"/>
        <w:gridCol w:w="1052"/>
        <w:gridCol w:w="939"/>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pct"/>
            <w:vMerge w:val="restart"/>
            <w:tcBorders>
              <w:top w:val="double" w:color="auto" w:sz="4" w:space="0"/>
              <w:left w:val="double" w:color="auto" w:sz="4" w:space="0"/>
              <w:tl2br w:val="single" w:color="auto" w:sz="4" w:space="0"/>
            </w:tcBorders>
            <w:noWrap/>
            <w:vAlign w:val="center"/>
          </w:tcPr>
          <w:p>
            <w:pPr>
              <w:autoSpaceDE w:val="0"/>
              <w:autoSpaceDN w:val="0"/>
              <w:adjustRightInd w:val="0"/>
              <w:snapToGrid w:val="0"/>
              <w:spacing w:line="240" w:lineRule="auto"/>
              <w:ind w:firstLine="0" w:firstLineChars="0"/>
              <w:jc w:val="right"/>
              <w:rPr>
                <w:rFonts w:hint="eastAsia" w:ascii="仿宋_GB2312" w:hAnsi="仿宋_GB2312" w:eastAsia="仿宋_GB2312" w:cs="仿宋_GB2312"/>
                <w:b/>
                <w:bCs/>
                <w:snapToGrid w:val="0"/>
                <w:spacing w:val="-4"/>
                <w:kern w:val="0"/>
                <w:sz w:val="21"/>
                <w:szCs w:val="21"/>
              </w:rPr>
            </w:pPr>
            <w:r>
              <w:rPr>
                <w:rFonts w:hint="eastAsia" w:ascii="仿宋_GB2312" w:hAnsi="仿宋_GB2312" w:eastAsia="仿宋_GB2312" w:cs="仿宋_GB2312"/>
                <w:b/>
                <w:bCs/>
                <w:snapToGrid w:val="0"/>
                <w:spacing w:val="-4"/>
                <w:kern w:val="0"/>
                <w:sz w:val="21"/>
                <w:szCs w:val="21"/>
              </w:rPr>
              <w:t>土地级别</w:t>
            </w:r>
          </w:p>
          <w:p>
            <w:pPr>
              <w:autoSpaceDE w:val="0"/>
              <w:autoSpaceDN w:val="0"/>
              <w:adjustRightInd w:val="0"/>
              <w:snapToGrid w:val="0"/>
              <w:spacing w:beforeLines="50" w:line="240" w:lineRule="auto"/>
              <w:ind w:firstLine="0" w:firstLineChars="0"/>
              <w:jc w:val="left"/>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b/>
                <w:bCs/>
                <w:snapToGrid w:val="0"/>
                <w:spacing w:val="-4"/>
                <w:kern w:val="0"/>
                <w:sz w:val="21"/>
                <w:szCs w:val="21"/>
              </w:rPr>
              <w:t>年份</w:t>
            </w:r>
          </w:p>
        </w:tc>
        <w:tc>
          <w:tcPr>
            <w:tcW w:w="1842" w:type="pct"/>
            <w:gridSpan w:val="3"/>
            <w:tcBorders>
              <w:top w:val="double" w:color="auto" w:sz="4" w:space="0"/>
            </w:tcBorders>
            <w:noWrap/>
            <w:vAlign w:val="center"/>
          </w:tcPr>
          <w:p>
            <w:pPr>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商服用地</w:t>
            </w:r>
          </w:p>
        </w:tc>
        <w:tc>
          <w:tcPr>
            <w:tcW w:w="1229" w:type="pct"/>
            <w:gridSpan w:val="2"/>
            <w:tcBorders>
              <w:top w:val="double" w:color="auto" w:sz="4" w:space="0"/>
            </w:tcBorders>
            <w:noWrap/>
            <w:vAlign w:val="center"/>
          </w:tcPr>
          <w:p>
            <w:pPr>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住宅用地</w:t>
            </w:r>
          </w:p>
        </w:tc>
        <w:tc>
          <w:tcPr>
            <w:tcW w:w="1101" w:type="pct"/>
            <w:gridSpan w:val="2"/>
            <w:tcBorders>
              <w:top w:val="double" w:color="auto" w:sz="4" w:space="0"/>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pct"/>
            <w:vMerge w:val="continue"/>
            <w:tcBorders>
              <w:left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p>
        </w:tc>
        <w:tc>
          <w:tcPr>
            <w:tcW w:w="617"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612"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612"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Ⅲ</w:t>
            </w:r>
          </w:p>
        </w:tc>
        <w:tc>
          <w:tcPr>
            <w:tcW w:w="612"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617"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550"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550" w:type="pct"/>
            <w:tcBorders>
              <w:right w:val="double" w:color="auto" w:sz="4" w:space="0"/>
            </w:tcBorders>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pct"/>
            <w:tcBorders>
              <w:left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z w:val="21"/>
                <w:szCs w:val="21"/>
              </w:rPr>
              <w:t>2016</w:t>
            </w:r>
            <w:r>
              <w:rPr>
                <w:rFonts w:hint="eastAsia" w:ascii="仿宋_GB2312" w:hAnsi="仿宋_GB2312" w:eastAsia="仿宋_GB2312" w:cs="仿宋_GB2312"/>
                <w:snapToGrid w:val="0"/>
                <w:spacing w:val="-4"/>
                <w:kern w:val="0"/>
                <w:sz w:val="21"/>
                <w:szCs w:val="21"/>
              </w:rPr>
              <w:t>年</w:t>
            </w:r>
          </w:p>
        </w:tc>
        <w:tc>
          <w:tcPr>
            <w:tcW w:w="61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61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61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61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61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550"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45</w:t>
            </w:r>
          </w:p>
        </w:tc>
        <w:tc>
          <w:tcPr>
            <w:tcW w:w="550" w:type="pct"/>
            <w:tcBorders>
              <w:right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pct"/>
            <w:tcBorders>
              <w:left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z w:val="21"/>
                <w:szCs w:val="21"/>
              </w:rPr>
              <w:t>2021</w:t>
            </w:r>
            <w:r>
              <w:rPr>
                <w:rFonts w:hint="eastAsia" w:ascii="仿宋_GB2312" w:hAnsi="仿宋_GB2312" w:eastAsia="仿宋_GB2312" w:cs="仿宋_GB2312"/>
                <w:snapToGrid w:val="0"/>
                <w:spacing w:val="-4"/>
                <w:kern w:val="0"/>
                <w:sz w:val="21"/>
                <w:szCs w:val="21"/>
              </w:rPr>
              <w:t>年</w:t>
            </w:r>
          </w:p>
        </w:tc>
        <w:tc>
          <w:tcPr>
            <w:tcW w:w="61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163</w:t>
            </w:r>
          </w:p>
        </w:tc>
        <w:tc>
          <w:tcPr>
            <w:tcW w:w="61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w:t>
            </w:r>
          </w:p>
        </w:tc>
        <w:tc>
          <w:tcPr>
            <w:tcW w:w="61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108</w:t>
            </w:r>
          </w:p>
        </w:tc>
        <w:tc>
          <w:tcPr>
            <w:tcW w:w="61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w:t>
            </w:r>
          </w:p>
        </w:tc>
        <w:tc>
          <w:tcPr>
            <w:tcW w:w="61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w:t>
            </w:r>
          </w:p>
        </w:tc>
        <w:tc>
          <w:tcPr>
            <w:tcW w:w="550"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w:t>
            </w:r>
          </w:p>
        </w:tc>
        <w:tc>
          <w:tcPr>
            <w:tcW w:w="550" w:type="pct"/>
            <w:tcBorders>
              <w:right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pct"/>
            <w:tcBorders>
              <w:left w:val="double" w:color="auto" w:sz="4" w:space="0"/>
              <w:bottom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napToGrid w:val="0"/>
                <w:spacing w:val="-4"/>
                <w:kern w:val="0"/>
                <w:sz w:val="21"/>
                <w:szCs w:val="21"/>
              </w:rPr>
              <w:t>增长率</w:t>
            </w:r>
            <w:r>
              <w:rPr>
                <w:rFonts w:hint="eastAsia" w:ascii="仿宋_GB2312" w:hAnsi="仿宋_GB2312" w:eastAsia="仿宋_GB2312" w:cs="仿宋_GB2312"/>
                <w:sz w:val="21"/>
                <w:szCs w:val="21"/>
              </w:rPr>
              <w:t>（%）</w:t>
            </w:r>
          </w:p>
        </w:tc>
        <w:tc>
          <w:tcPr>
            <w:tcW w:w="617"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132.86%</w:t>
            </w:r>
          </w:p>
        </w:tc>
        <w:tc>
          <w:tcPr>
            <w:tcW w:w="612"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116.67%</w:t>
            </w:r>
          </w:p>
        </w:tc>
        <w:tc>
          <w:tcPr>
            <w:tcW w:w="612"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116.00%</w:t>
            </w:r>
          </w:p>
        </w:tc>
        <w:tc>
          <w:tcPr>
            <w:tcW w:w="612"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116.67%</w:t>
            </w:r>
          </w:p>
        </w:tc>
        <w:tc>
          <w:tcPr>
            <w:tcW w:w="617"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104.00%</w:t>
            </w:r>
          </w:p>
        </w:tc>
        <w:tc>
          <w:tcPr>
            <w:tcW w:w="550"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88.89%</w:t>
            </w:r>
          </w:p>
        </w:tc>
        <w:tc>
          <w:tcPr>
            <w:tcW w:w="550" w:type="pct"/>
            <w:tcBorders>
              <w:bottom w:val="double" w:color="auto" w:sz="4" w:space="0"/>
              <w:right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67.50%</w:t>
            </w:r>
          </w:p>
        </w:tc>
      </w:tr>
    </w:tbl>
    <w:p>
      <w:pPr>
        <w:bidi w:val="0"/>
        <w:rPr>
          <w:rFonts w:hint="eastAsia"/>
        </w:rPr>
      </w:pPr>
      <w:r>
        <w:rPr>
          <w:rFonts w:hint="eastAsia"/>
        </w:rPr>
        <w:t>分析对比白脑包镇2016年、2021年的基准地价成果，可以看出，从2016年—2021年，商服、住宅、工业用地的地价总体呈上升趋势，其中商服Ⅰ级、住宅Ⅰ级用地地价增长最快。这主要由于近年来临河区白脑包镇经济快速发展，城区改造力度的加大促使土地市场不断发展，土地需求上升，从而促使地价上涨；同时基础设施条件的进一步完善，使得土地的取得和开发成本也有所上升，也导致土地价格的上涨。</w:t>
      </w:r>
    </w:p>
    <w:p>
      <w:pPr>
        <w:pStyle w:val="4"/>
        <w:bidi w:val="0"/>
        <w:rPr>
          <w:rFonts w:hint="eastAsia"/>
        </w:rPr>
      </w:pPr>
      <w:bookmarkStart w:id="57" w:name="_Toc31805"/>
      <w:bookmarkStart w:id="58" w:name="_Toc12189"/>
      <w:bookmarkStart w:id="59" w:name="_Toc29843"/>
      <w:bookmarkStart w:id="60" w:name="_Toc1572"/>
      <w:bookmarkStart w:id="61" w:name="_Toc1513"/>
      <w:bookmarkStart w:id="62" w:name="_Toc27573"/>
      <w:bookmarkStart w:id="63" w:name="_Toc12814"/>
      <w:r>
        <w:rPr>
          <w:rFonts w:hint="eastAsia"/>
        </w:rPr>
        <w:t>第一节</w:t>
      </w:r>
      <w:r>
        <w:rPr>
          <w:rFonts w:hint="eastAsia"/>
          <w:lang w:val="en-US" w:eastAsia="zh-CN"/>
        </w:rPr>
        <w:t xml:space="preserve">  </w:t>
      </w:r>
      <w:r>
        <w:rPr>
          <w:rFonts w:hint="eastAsia"/>
        </w:rPr>
        <w:t>成果意义</w:t>
      </w:r>
      <w:bookmarkEnd w:id="57"/>
      <w:bookmarkEnd w:id="58"/>
      <w:bookmarkEnd w:id="59"/>
      <w:bookmarkEnd w:id="60"/>
      <w:bookmarkEnd w:id="61"/>
      <w:bookmarkEnd w:id="62"/>
      <w:bookmarkEnd w:id="63"/>
    </w:p>
    <w:p>
      <w:pPr>
        <w:bidi w:val="0"/>
        <w:rPr>
          <w:rFonts w:hint="eastAsia"/>
        </w:rPr>
      </w:pPr>
      <w:r>
        <w:rPr>
          <w:rFonts w:hint="eastAsia"/>
        </w:rPr>
        <w:t>临河区白脑包镇土地定级估价工作在土地管理历史上具有深远的影响，它不仅是一项重要的基础工作，而且具有广泛的现实意义。</w:t>
      </w:r>
    </w:p>
    <w:p>
      <w:pPr>
        <w:pStyle w:val="5"/>
        <w:bidi w:val="0"/>
        <w:rPr>
          <w:rFonts w:hint="eastAsia"/>
        </w:rPr>
      </w:pPr>
      <w:bookmarkStart w:id="64" w:name="_Toc13280"/>
      <w:bookmarkStart w:id="65" w:name="_Toc18299"/>
      <w:r>
        <w:rPr>
          <w:rFonts w:hint="eastAsia"/>
        </w:rPr>
        <w:t>一、是一项重要的基础工作</w:t>
      </w:r>
      <w:bookmarkEnd w:id="64"/>
      <w:bookmarkEnd w:id="65"/>
    </w:p>
    <w:p>
      <w:pPr>
        <w:bidi w:val="0"/>
        <w:rPr>
          <w:rFonts w:hint="eastAsia"/>
        </w:rPr>
      </w:pPr>
      <w:r>
        <w:rPr>
          <w:rFonts w:hint="eastAsia"/>
        </w:rPr>
        <w:t>地价管理是自然资源管理的重要组成部分，是土地市场的核心，全面、系统、准确地掌握土地价格的变化情况，分析发展趋势，不仅是国家制定土地政策、深化土地使用制度改革的需要，同时也能引导产业的健康发展，是国内外投资者实现合理回报的前提和决策依据。因此，科学合理制订地价体系，实施土地定级与基准地价评估是国土资源管理部门的一项重要的基础工作。</w:t>
      </w:r>
    </w:p>
    <w:p>
      <w:pPr>
        <w:pStyle w:val="5"/>
        <w:bidi w:val="0"/>
        <w:rPr>
          <w:rFonts w:hint="eastAsia"/>
        </w:rPr>
      </w:pPr>
      <w:bookmarkStart w:id="66" w:name="_Toc27311"/>
      <w:bookmarkStart w:id="67" w:name="_Toc9077"/>
      <w:r>
        <w:rPr>
          <w:rFonts w:hint="eastAsia"/>
        </w:rPr>
        <w:t>二、有利于宏观调控土地市场，指导地产交易</w:t>
      </w:r>
      <w:bookmarkEnd w:id="66"/>
      <w:bookmarkEnd w:id="67"/>
    </w:p>
    <w:p>
      <w:pPr>
        <w:bidi w:val="0"/>
        <w:rPr>
          <w:rFonts w:hint="eastAsia"/>
        </w:rPr>
      </w:pPr>
      <w:r>
        <w:rPr>
          <w:rFonts w:hint="eastAsia"/>
        </w:rPr>
        <w:t>临河区白脑包镇土地招、拍、挂已有一定发展，这是地产公开、公正、公平交易的象征。一级土地市场的垄断，二级土地市场的流转，核心问题是地价。本次工作无疑对土地市场的发育完善具有深远的积极影响。</w:t>
      </w:r>
    </w:p>
    <w:p>
      <w:pPr>
        <w:pStyle w:val="5"/>
        <w:bidi w:val="0"/>
        <w:rPr>
          <w:rFonts w:hint="eastAsia"/>
        </w:rPr>
      </w:pPr>
      <w:bookmarkStart w:id="68" w:name="_Toc20896"/>
      <w:bookmarkStart w:id="69" w:name="_Toc18349"/>
      <w:r>
        <w:rPr>
          <w:rFonts w:hint="eastAsia"/>
        </w:rPr>
        <w:t>三、为公平合理地收取土地税费提供依据</w:t>
      </w:r>
      <w:bookmarkEnd w:id="68"/>
      <w:bookmarkEnd w:id="69"/>
    </w:p>
    <w:p>
      <w:pPr>
        <w:bidi w:val="0"/>
        <w:rPr>
          <w:rFonts w:hint="eastAsia"/>
        </w:rPr>
      </w:pPr>
      <w:r>
        <w:rPr>
          <w:rFonts w:hint="eastAsia"/>
        </w:rPr>
        <w:t>《中华人民共和国城镇房地产管理法》、《土地使用税暂行条例》、《增值税条例》、《土地出让转让暂行条例》、《契税暂行条例》、《耕地占用税实施办法》等法律、法规、规章对征收土地税费均有明确规定。其中有些是依据土地等级征收，有的是依据地价征收。因此，现行的土地使用税费标准可依据土地定级估价成果进行，从而确保征收税费的公平性.</w:t>
      </w:r>
    </w:p>
    <w:p>
      <w:pPr>
        <w:pStyle w:val="5"/>
        <w:bidi w:val="0"/>
        <w:rPr>
          <w:rFonts w:hint="eastAsia"/>
        </w:rPr>
      </w:pPr>
      <w:bookmarkStart w:id="70" w:name="_Toc69"/>
      <w:bookmarkStart w:id="71" w:name="_Toc10274"/>
      <w:r>
        <w:rPr>
          <w:rFonts w:hint="eastAsia"/>
        </w:rPr>
        <w:t>四、更好地促进土地管理工作的开展</w:t>
      </w:r>
      <w:bookmarkEnd w:id="70"/>
      <w:bookmarkEnd w:id="71"/>
    </w:p>
    <w:p>
      <w:pPr>
        <w:bidi w:val="0"/>
        <w:rPr>
          <w:rFonts w:hint="eastAsia"/>
        </w:rPr>
      </w:pPr>
      <w:r>
        <w:rPr>
          <w:rFonts w:hint="eastAsia"/>
        </w:rPr>
        <w:t>地籍管理是土地管理的核心，而地籍调查是地籍管理的基础工作之一。通过对全镇各部门有关资料、图件的调查，以及各种数据的录入、处理，已形成一些有用的宗地数据和图件，应用于地籍调查和变更调查工作中，无疑可以促进这方面的业务的开展。</w:t>
      </w:r>
    </w:p>
    <w:p>
      <w:pPr>
        <w:bidi w:val="0"/>
        <w:rPr>
          <w:rFonts w:hint="eastAsia"/>
        </w:rPr>
      </w:pPr>
      <w:r>
        <w:rPr>
          <w:rFonts w:hint="eastAsia"/>
        </w:rPr>
        <w:t>此外，对土地管理信息化建设也具有参考价值。</w:t>
      </w:r>
    </w:p>
    <w:p>
      <w:pPr>
        <w:pStyle w:val="5"/>
        <w:bidi w:val="0"/>
        <w:rPr>
          <w:rFonts w:hint="eastAsia"/>
        </w:rPr>
      </w:pPr>
      <w:bookmarkStart w:id="72" w:name="_Toc28007"/>
      <w:bookmarkStart w:id="73" w:name="_Toc2714"/>
      <w:r>
        <w:rPr>
          <w:rFonts w:hint="eastAsia"/>
        </w:rPr>
        <w:t>五、为建立土地资产台账提供基础</w:t>
      </w:r>
      <w:bookmarkEnd w:id="72"/>
      <w:bookmarkEnd w:id="73"/>
    </w:p>
    <w:p>
      <w:pPr>
        <w:bidi w:val="0"/>
        <w:rPr>
          <w:rFonts w:hint="eastAsia"/>
        </w:rPr>
      </w:pPr>
      <w:r>
        <w:rPr>
          <w:rFonts w:hint="eastAsia"/>
        </w:rPr>
        <w:t>城镇地籍调查工作，除了查清土地权属状况和用地面积外，还应查清土地的级别、地价，上述要素均应在地籍档案中登记载明。利用土地定级估价成果，通过宗地评估工作，可以评估出宗地地价和土地资产量，建立宗地的土地资产台账，从而使宗地的资产量显化，进而促进土地登记工作质量的提高。</w:t>
      </w:r>
    </w:p>
    <w:p>
      <w:pPr>
        <w:pStyle w:val="4"/>
        <w:keepNext/>
        <w:keepLines/>
        <w:pageBreakBefore w:val="0"/>
        <w:widowControl w:val="0"/>
        <w:kinsoku/>
        <w:wordWrap/>
        <w:overflowPunct/>
        <w:topLinePunct w:val="0"/>
        <w:autoSpaceDE/>
        <w:autoSpaceDN/>
        <w:bidi w:val="0"/>
        <w:adjustRightInd/>
        <w:snapToGrid/>
        <w:spacing w:before="63" w:beforeLines="20" w:after="63" w:afterLines="20"/>
        <w:textAlignment w:val="auto"/>
        <w:rPr>
          <w:rFonts w:hint="eastAsia"/>
        </w:rPr>
      </w:pPr>
      <w:bookmarkStart w:id="74" w:name="_Toc22467"/>
      <w:bookmarkStart w:id="75" w:name="_Toc9157"/>
      <w:bookmarkStart w:id="76" w:name="_Toc14681"/>
      <w:bookmarkStart w:id="77" w:name="_Toc11678"/>
      <w:bookmarkStart w:id="78" w:name="_Toc17116"/>
      <w:bookmarkStart w:id="79" w:name="_Toc21305"/>
      <w:bookmarkStart w:id="80" w:name="_Toc16459"/>
      <w:r>
        <w:rPr>
          <w:rFonts w:hint="eastAsia"/>
        </w:rPr>
        <w:t>第二节</w:t>
      </w:r>
      <w:r>
        <w:rPr>
          <w:rFonts w:hint="eastAsia"/>
          <w:lang w:val="en-US" w:eastAsia="zh-CN"/>
        </w:rPr>
        <w:t xml:space="preserve">  </w:t>
      </w:r>
      <w:r>
        <w:rPr>
          <w:rFonts w:hint="eastAsia"/>
        </w:rPr>
        <w:t>成果的应用说明</w:t>
      </w:r>
      <w:bookmarkEnd w:id="74"/>
      <w:bookmarkEnd w:id="75"/>
      <w:bookmarkEnd w:id="76"/>
      <w:bookmarkEnd w:id="77"/>
      <w:bookmarkEnd w:id="78"/>
      <w:bookmarkEnd w:id="79"/>
      <w:bookmarkEnd w:id="80"/>
    </w:p>
    <w:p>
      <w:pPr>
        <w:bidi w:val="0"/>
        <w:rPr>
          <w:rFonts w:hint="eastAsia"/>
        </w:rPr>
      </w:pPr>
      <w:r>
        <w:rPr>
          <w:rFonts w:hint="eastAsia"/>
        </w:rPr>
        <w:t>任何成果最终目的在于应用，土地定级估价成果也不例外。自然资源局十分重视基准地价成果的应用，已经把它纳入地价管理重要工作内容之一。临河区白脑包镇土地定级估价工作自始至终注重它的应用，它不仅应在指导和规范土地市场方面发挥作用，而且应在城市建设、城市功能的提升、城市经济的发展等方面发挥其优势。</w:t>
      </w:r>
    </w:p>
    <w:p>
      <w:pPr>
        <w:pStyle w:val="5"/>
        <w:bidi w:val="0"/>
        <w:rPr>
          <w:rFonts w:hint="eastAsia"/>
        </w:rPr>
      </w:pPr>
      <w:bookmarkStart w:id="81" w:name="_Toc1829"/>
      <w:bookmarkStart w:id="82" w:name="_Toc32502"/>
      <w:r>
        <w:rPr>
          <w:rFonts w:hint="eastAsia"/>
        </w:rPr>
        <w:t>一、土地定级成果的应用</w:t>
      </w:r>
      <w:bookmarkEnd w:id="81"/>
      <w:bookmarkEnd w:id="82"/>
    </w:p>
    <w:p>
      <w:pPr>
        <w:bidi w:val="0"/>
        <w:rPr>
          <w:rFonts w:hint="eastAsia"/>
        </w:rPr>
      </w:pPr>
      <w:r>
        <w:rPr>
          <w:rFonts w:hint="eastAsia"/>
        </w:rPr>
        <w:t>1</w:t>
      </w:r>
      <w:r>
        <w:rPr>
          <w:rFonts w:hint="eastAsia"/>
          <w:lang w:eastAsia="zh-CN"/>
        </w:rPr>
        <w:t>、</w:t>
      </w:r>
      <w:r>
        <w:rPr>
          <w:rFonts w:hint="eastAsia"/>
        </w:rPr>
        <w:t>土地级别</w:t>
      </w:r>
    </w:p>
    <w:p>
      <w:pPr>
        <w:bidi w:val="0"/>
        <w:rPr>
          <w:rFonts w:hint="eastAsia"/>
        </w:rPr>
      </w:pPr>
      <w:r>
        <w:rPr>
          <w:rFonts w:hint="eastAsia"/>
        </w:rPr>
        <w:t>土地级别主要反映城市内部土地的质量和利用效益的差异，可为城市规划、土地利用总体规划、土地计划等的制定提供依据，进而达到合理配置城市土地，最大限度地发挥土地的经济、社会、环境的综合效益。</w:t>
      </w:r>
    </w:p>
    <w:p>
      <w:pPr>
        <w:bidi w:val="0"/>
        <w:rPr>
          <w:rFonts w:hint="eastAsia"/>
        </w:rPr>
      </w:pPr>
      <w:r>
        <w:rPr>
          <w:rFonts w:hint="eastAsia"/>
        </w:rPr>
        <w:t>在具体应用该项成果时，应根据土地级别，将经济效益好的企业单位安排到一级土地上， 并尽可能提高优等土地的利用效率。城市规划部门同样应遵循最佳利用原则，合理安排城市内各功能用地结构，减少不合理的用地现象。</w:t>
      </w:r>
    </w:p>
    <w:p>
      <w:pPr>
        <w:bidi w:val="0"/>
        <w:rPr>
          <w:rFonts w:hint="eastAsia"/>
        </w:rPr>
      </w:pPr>
      <w:r>
        <w:rPr>
          <w:rFonts w:hint="eastAsia"/>
        </w:rPr>
        <w:t>此外，土地级别成果可为新增建设用地土地有偿使用费的征收，确定土地使用税的标准等方面提供重要依据。</w:t>
      </w:r>
    </w:p>
    <w:p>
      <w:pPr>
        <w:bidi w:val="0"/>
        <w:rPr>
          <w:rFonts w:hint="eastAsia"/>
        </w:rPr>
      </w:pPr>
      <w:r>
        <w:rPr>
          <w:rFonts w:hint="eastAsia"/>
        </w:rPr>
        <w:t>2</w:t>
      </w:r>
      <w:r>
        <w:rPr>
          <w:rFonts w:hint="eastAsia"/>
          <w:lang w:eastAsia="zh-CN"/>
        </w:rPr>
        <w:t>、</w:t>
      </w:r>
      <w:r>
        <w:rPr>
          <w:rFonts w:hint="eastAsia"/>
        </w:rPr>
        <w:t>因素作用分值图</w:t>
      </w:r>
    </w:p>
    <w:p>
      <w:pPr>
        <w:bidi w:val="0"/>
        <w:rPr>
          <w:rFonts w:hint="eastAsia" w:ascii="仿宋_GB2312" w:hAnsi="仿宋_GB2312" w:eastAsia="仿宋_GB2312" w:cs="仿宋_GB2312"/>
          <w:szCs w:val="28"/>
        </w:rPr>
      </w:pPr>
      <w:r>
        <w:rPr>
          <w:rFonts w:hint="eastAsia"/>
        </w:rPr>
        <w:t>应用地理信息系统软件完成的土地定级作用分值图，可直接读取某一宗地的作用分值。如采用比较法或利用基准地价修正系数法进行宗地估价时，利用土地定级作用分值图可计算待估宗地与参照宗地比例系数，从而求得待估宗地地价。</w:t>
      </w:r>
    </w:p>
    <w:p>
      <w:pPr>
        <w:pStyle w:val="5"/>
        <w:bidi w:val="0"/>
        <w:rPr>
          <w:rFonts w:hint="eastAsia"/>
        </w:rPr>
      </w:pPr>
      <w:bookmarkStart w:id="83" w:name="_Toc19389"/>
      <w:bookmarkStart w:id="84" w:name="_Toc3839"/>
      <w:r>
        <w:rPr>
          <w:rFonts w:hint="eastAsia"/>
        </w:rPr>
        <w:t>二、基准地价成果的应用</w:t>
      </w:r>
      <w:bookmarkEnd w:id="83"/>
      <w:bookmarkEnd w:id="84"/>
    </w:p>
    <w:p>
      <w:pPr>
        <w:bidi w:val="0"/>
        <w:rPr>
          <w:rFonts w:hint="eastAsia"/>
        </w:rPr>
      </w:pPr>
      <w:r>
        <w:rPr>
          <w:rFonts w:hint="eastAsia"/>
        </w:rPr>
        <w:t>1</w:t>
      </w:r>
      <w:r>
        <w:rPr>
          <w:rFonts w:hint="eastAsia"/>
          <w:lang w:eastAsia="zh-CN"/>
        </w:rPr>
        <w:t>、</w:t>
      </w:r>
      <w:r>
        <w:rPr>
          <w:rFonts w:hint="eastAsia"/>
        </w:rPr>
        <w:t>基准地价</w:t>
      </w:r>
    </w:p>
    <w:p>
      <w:pPr>
        <w:bidi w:val="0"/>
        <w:rPr>
          <w:rFonts w:hint="eastAsia"/>
        </w:rPr>
      </w:pPr>
      <w:r>
        <w:rPr>
          <w:rFonts w:hint="eastAsia"/>
        </w:rPr>
        <w:t>（1）宏观控制地价。洞察土地市场中地价变化趋势，为投资决策提供依据；</w:t>
      </w:r>
    </w:p>
    <w:p>
      <w:pPr>
        <w:bidi w:val="0"/>
        <w:rPr>
          <w:rFonts w:hint="eastAsia"/>
        </w:rPr>
      </w:pPr>
      <w:r>
        <w:rPr>
          <w:rFonts w:hint="eastAsia"/>
        </w:rPr>
        <w:t>（2）征收土地使用税费的依据。按照国际惯例，土地税一般是从价征税，而我国目前很难做到，征收的税额也偏低，达不到利用土地税收经济杠杆调节土地利用和土地级差收益的目的。因此，科学、合理、公开的基准地价能为科学地征收土地税费提供依据；</w:t>
      </w:r>
    </w:p>
    <w:p>
      <w:pPr>
        <w:bidi w:val="0"/>
        <w:rPr>
          <w:rFonts w:hint="eastAsia"/>
        </w:rPr>
      </w:pPr>
      <w:r>
        <w:rPr>
          <w:rFonts w:hint="eastAsia"/>
        </w:rPr>
        <w:t>（3）确定中央与地方土地有偿使用收益分配的依据；</w:t>
      </w:r>
    </w:p>
    <w:p>
      <w:pPr>
        <w:bidi w:val="0"/>
        <w:rPr>
          <w:rFonts w:hint="eastAsia"/>
        </w:rPr>
      </w:pPr>
      <w:r>
        <w:rPr>
          <w:rFonts w:hint="eastAsia"/>
        </w:rPr>
        <w:t>（4）为地价评估工作提供依据；</w:t>
      </w:r>
    </w:p>
    <w:p>
      <w:pPr>
        <w:bidi w:val="0"/>
        <w:rPr>
          <w:rFonts w:hint="eastAsia"/>
        </w:rPr>
      </w:pPr>
      <w:r>
        <w:rPr>
          <w:rFonts w:hint="eastAsia"/>
        </w:rPr>
        <w:t>（5）为推行土地招标、拍卖、收购储备制度提供地价依据；</w:t>
      </w:r>
    </w:p>
    <w:p>
      <w:pPr>
        <w:bidi w:val="0"/>
        <w:rPr>
          <w:rFonts w:hint="eastAsia"/>
        </w:rPr>
      </w:pPr>
      <w:r>
        <w:rPr>
          <w:rFonts w:hint="eastAsia"/>
        </w:rPr>
        <w:t>（6）为实行基准地价评估和宗地地价公示制度奠定基础；</w:t>
      </w:r>
    </w:p>
    <w:p>
      <w:pPr>
        <w:bidi w:val="0"/>
        <w:rPr>
          <w:rFonts w:hint="eastAsia"/>
        </w:rPr>
      </w:pPr>
      <w:r>
        <w:rPr>
          <w:rFonts w:hint="eastAsia"/>
        </w:rPr>
        <w:t>（7）对土地利用、流转合理引导；</w:t>
      </w:r>
    </w:p>
    <w:p>
      <w:pPr>
        <w:bidi w:val="0"/>
        <w:rPr>
          <w:rFonts w:hint="eastAsia"/>
        </w:rPr>
      </w:pPr>
      <w:r>
        <w:rPr>
          <w:rFonts w:hint="eastAsia"/>
        </w:rPr>
        <w:t>（8）为国家进行地价动态监测，编制全国地价指数和临河区白脑包镇地价指数提供了依据。</w:t>
      </w:r>
    </w:p>
    <w:p>
      <w:pPr>
        <w:bidi w:val="0"/>
        <w:rPr>
          <w:rFonts w:hint="eastAsia"/>
        </w:rPr>
      </w:pPr>
      <w:r>
        <w:rPr>
          <w:rFonts w:hint="eastAsia"/>
        </w:rPr>
        <w:t>2</w:t>
      </w:r>
      <w:r>
        <w:rPr>
          <w:rFonts w:hint="eastAsia"/>
          <w:lang w:eastAsia="zh-CN"/>
        </w:rPr>
        <w:t>、</w:t>
      </w:r>
      <w:r>
        <w:rPr>
          <w:rFonts w:hint="eastAsia"/>
        </w:rPr>
        <w:t>宗地地价</w:t>
      </w:r>
    </w:p>
    <w:p>
      <w:pPr>
        <w:bidi w:val="0"/>
        <w:rPr>
          <w:rFonts w:hint="eastAsia"/>
        </w:rPr>
      </w:pPr>
      <w:r>
        <w:rPr>
          <w:rFonts w:hint="eastAsia"/>
        </w:rPr>
        <w:t>（1）确定出让或收回土地的价格依据</w:t>
      </w:r>
    </w:p>
    <w:p>
      <w:pPr>
        <w:bidi w:val="0"/>
        <w:rPr>
          <w:rFonts w:hint="eastAsia"/>
        </w:rPr>
      </w:pPr>
      <w:r>
        <w:rPr>
          <w:rFonts w:hint="eastAsia"/>
        </w:rPr>
        <w:t>宗地地价是土地市场在一般供求规律上的地价，而在出让土地中，由于对不同项目和投资者的考虑，政府可以采取不同的价格进行出让，而宗地地价可作为衡量土地出让金征收标准之一。此外，国家依法收回土地，也需要确定合理的宗地地价标准。</w:t>
      </w:r>
    </w:p>
    <w:p>
      <w:pPr>
        <w:bidi w:val="0"/>
        <w:rPr>
          <w:rFonts w:hint="eastAsia"/>
        </w:rPr>
      </w:pPr>
      <w:r>
        <w:rPr>
          <w:rFonts w:hint="eastAsia"/>
        </w:rPr>
        <w:t>（2）征收土地契税的重要依据</w:t>
      </w:r>
    </w:p>
    <w:p>
      <w:pPr>
        <w:bidi w:val="0"/>
        <w:rPr>
          <w:rFonts w:hint="eastAsia"/>
        </w:rPr>
      </w:pPr>
      <w:r>
        <w:rPr>
          <w:rFonts w:hint="eastAsia"/>
        </w:rPr>
        <w:t>《中华人民共和国契税暂行条例》规定的土地契税征收的依据是土地交易成交价格，确定宗地地价可以验证征收的土地契税是否得当。</w:t>
      </w:r>
    </w:p>
    <w:p>
      <w:pPr>
        <w:bidi w:val="0"/>
        <w:rPr>
          <w:rFonts w:hint="eastAsia"/>
        </w:rPr>
      </w:pPr>
      <w:r>
        <w:rPr>
          <w:rFonts w:hint="eastAsia"/>
        </w:rPr>
        <w:t>（3）企业清产核资和改制中土地资产价格的评估依据</w:t>
      </w:r>
    </w:p>
    <w:p>
      <w:pPr>
        <w:bidi w:val="0"/>
        <w:rPr>
          <w:rFonts w:hint="eastAsia"/>
        </w:rPr>
      </w:pPr>
      <w:r>
        <w:rPr>
          <w:rFonts w:hint="eastAsia"/>
        </w:rPr>
        <w:t>我国绝大多数企事业单位都靠行政划拨方式取得土地使用权的，企业账面资产中不包括土地资产部分，有些也仅只有当时的征地费，不能反映土地资产的现值。为了正确反映出企业土地资产的现值，正确衡量企业的经营管理水平和发挥土地资产的效益，必须依据宗地地价对企业资产和股份制企业中的土地资产进行核实，合理反映企业土地资产状况，有效实现国家土地所有权，建立公平的竞争环境。</w:t>
      </w:r>
    </w:p>
    <w:p>
      <w:pPr>
        <w:bidi w:val="0"/>
        <w:rPr>
          <w:rFonts w:hint="eastAsia"/>
        </w:rPr>
      </w:pPr>
      <w:r>
        <w:rPr>
          <w:rFonts w:hint="eastAsia"/>
        </w:rPr>
        <w:t>（4）优先购买权的衡量标准</w:t>
      </w:r>
    </w:p>
    <w:p>
      <w:pPr>
        <w:bidi w:val="0"/>
        <w:rPr>
          <w:rFonts w:hint="eastAsia"/>
        </w:rPr>
      </w:pPr>
      <w:r>
        <w:rPr>
          <w:rFonts w:hint="eastAsia"/>
        </w:rPr>
        <w:t>为增加政府管理土地市场的透明度，使土地使用者能够按市场规律进行交易并向政府申报交易价，支付相应的税费，对一些明显低于市场价的交易活动，政府可以采取优先购买权收回土地，以有效防止瞒价等行为对土地市场的不良影响，而宗地地价是决定实现优先购买的衡量标准。</w:t>
      </w:r>
    </w:p>
    <w:p>
      <w:pPr>
        <w:bidi w:val="0"/>
        <w:rPr>
          <w:rFonts w:hint="eastAsia"/>
        </w:rPr>
      </w:pPr>
      <w:r>
        <w:rPr>
          <w:rFonts w:hint="eastAsia"/>
        </w:rPr>
        <w:t>（5）科学合理确定宗地地价的依据</w:t>
      </w:r>
    </w:p>
    <w:p>
      <w:pPr>
        <w:bidi w:val="0"/>
        <w:rPr>
          <w:rFonts w:hint="eastAsia"/>
        </w:rPr>
      </w:pPr>
      <w:r>
        <w:rPr>
          <w:rFonts w:hint="eastAsia"/>
        </w:rPr>
        <w:t>国有土地使用权转让、出让、抵押等交易过程中必须科学合理确定宗地地价。</w:t>
      </w:r>
    </w:p>
    <w:p>
      <w:pPr>
        <w:bidi w:val="0"/>
        <w:rPr>
          <w:rFonts w:hint="eastAsia"/>
        </w:rPr>
      </w:pPr>
      <w:r>
        <w:rPr>
          <w:rFonts w:hint="eastAsia"/>
        </w:rPr>
        <w:t>（6）土地使用权转移时，补交土地使用权出让金的标准</w:t>
      </w:r>
    </w:p>
    <w:p>
      <w:pPr>
        <w:bidi w:val="0"/>
        <w:rPr>
          <w:rFonts w:hint="eastAsia"/>
        </w:rPr>
      </w:pPr>
      <w:r>
        <w:rPr>
          <w:rFonts w:hint="eastAsia"/>
        </w:rPr>
        <w:t>划拨土地使用权管理中，需根据具体地块的条件评估出标定地价，作为补交土地出让金的标准。</w:t>
      </w:r>
    </w:p>
    <w:p>
      <w:pPr>
        <w:bidi w:val="0"/>
        <w:rPr>
          <w:rFonts w:hint="eastAsia"/>
        </w:rPr>
      </w:pPr>
      <w:r>
        <w:rPr>
          <w:rFonts w:hint="eastAsia"/>
        </w:rPr>
        <w:t>（7）确定土地增值税（费）和衡量土地使用权转移价格的标准</w:t>
      </w:r>
    </w:p>
    <w:p>
      <w:pPr>
        <w:bidi w:val="0"/>
        <w:rPr>
          <w:rFonts w:hint="eastAsia"/>
        </w:rPr>
      </w:pPr>
      <w:r>
        <w:rPr>
          <w:rFonts w:hint="eastAsia"/>
        </w:rPr>
        <w:t>随着社会经济和城市建设的发展，只要地价是逐年上升的，不论土地是否转移，都是按涨价后的价格标准参与经济活动，并获得收益的。因此，宗地地价可以反映不同时期地块的增值，为将来社会发展所产生的土地增值收归国家提供依据。</w:t>
      </w:r>
    </w:p>
    <w:p>
      <w:pPr>
        <w:bidi w:val="0"/>
        <w:rPr>
          <w:rFonts w:hint="eastAsia"/>
        </w:rPr>
      </w:pPr>
      <w:r>
        <w:rPr>
          <w:rFonts w:hint="eastAsia"/>
        </w:rPr>
        <w:t>（8）司法仲</w:t>
      </w:r>
      <w:bookmarkStart w:id="87" w:name="_GoBack"/>
      <w:bookmarkEnd w:id="87"/>
      <w:r>
        <w:rPr>
          <w:rFonts w:hint="eastAsia"/>
        </w:rPr>
        <w:t>裁中涉及的土地评估的依据</w:t>
      </w:r>
    </w:p>
    <w:p>
      <w:pPr>
        <w:bidi w:val="0"/>
        <w:rPr>
          <w:rFonts w:hint="eastAsia"/>
        </w:rPr>
      </w:pPr>
      <w:r>
        <w:rPr>
          <w:rFonts w:hint="eastAsia"/>
        </w:rPr>
        <w:t>在司法机关涉及的债务或其他纠纷时，必须需要确定宗地地价水平。</w:t>
      </w:r>
    </w:p>
    <w:p>
      <w:pPr>
        <w:bidi w:val="0"/>
        <w:rPr>
          <w:rFonts w:hint="eastAsia"/>
        </w:rPr>
      </w:pPr>
      <w:r>
        <w:rPr>
          <w:rFonts w:hint="eastAsia"/>
        </w:rPr>
        <w:t>3</w:t>
      </w:r>
      <w:r>
        <w:rPr>
          <w:rFonts w:hint="eastAsia"/>
          <w:lang w:eastAsia="zh-CN"/>
        </w:rPr>
        <w:t>、</w:t>
      </w:r>
      <w:r>
        <w:rPr>
          <w:rFonts w:hint="eastAsia"/>
        </w:rPr>
        <w:t>基准地价修正体系</w:t>
      </w:r>
    </w:p>
    <w:p>
      <w:pPr>
        <w:bidi w:val="0"/>
        <w:rPr>
          <w:rFonts w:hint="eastAsia"/>
        </w:rPr>
      </w:pPr>
      <w:r>
        <w:rPr>
          <w:rFonts w:hint="eastAsia"/>
        </w:rPr>
        <w:t>临河区白脑包镇基准地价的定义为：在估价基准日为2021年6月30日，设定土地开发程度为商服、住宅用地“五通一平”（宗地红线外通电、通路、通讯、通上水、通下水和宗地内场地平整），工业用地“四通一平”（宗地红线外通电、通路、通上水、通讯和宗地内场地平整）的条件下，各网格单元、各地价区段、各应用评价单元和各级别中，在国有土地使用权出让状态下，按商服、住宅、工业三类用途区分，在法定最高出让年限商服用地40年、居住用地70年、工业用地50年；标准容积率为商服用地1.0、居住用地1.0和工业用地0.7时的区域平均价格。</w:t>
      </w:r>
    </w:p>
    <w:p>
      <w:pPr>
        <w:bidi w:val="0"/>
        <w:rPr>
          <w:rFonts w:hint="eastAsia"/>
        </w:rPr>
      </w:pPr>
      <w:r>
        <w:rPr>
          <w:rFonts w:hint="eastAsia"/>
        </w:rPr>
        <w:t>基准地价的显著特点就是反映城市土地产生的实际效益，并将一定期限土地使用价值以货币形式反映出来。基准地价并不代表每宗地的具体价格，而是代表某一评价单元、某一级别、某一道路两侧的平均地价，它显示土地的一般价格差异。在实际工作中，应用最广泛的是需要确定宗地地价。为此，专门编制了基准地价修正体系，评估宗地地价应以基准地价为基准，依据基准地价修正体系，具体确定影响宗地地价的修正系数。</w:t>
      </w:r>
    </w:p>
    <w:p>
      <w:pPr>
        <w:bidi w:val="0"/>
        <w:rPr>
          <w:rFonts w:hint="eastAsia"/>
        </w:rPr>
      </w:pPr>
      <w:r>
        <w:rPr>
          <w:rFonts w:hint="eastAsia"/>
        </w:rPr>
        <w:t>（1）应用基准地价修正体系成果的说明</w:t>
      </w:r>
    </w:p>
    <w:p>
      <w:pPr>
        <w:bidi w:val="0"/>
        <w:rPr>
          <w:rFonts w:hint="eastAsia"/>
        </w:rPr>
      </w:pPr>
      <w:r>
        <w:rPr>
          <w:rFonts w:hint="eastAsia"/>
        </w:rPr>
        <w:t>基准地价修正体系包括了商服、住宅、工业用地的各级地基准地价。各类基准地价的差异较大，修正方法和系数也不同，故在进行宗地地价评估时，应选择合理的基准地价。</w:t>
      </w:r>
    </w:p>
    <w:p>
      <w:pPr>
        <w:bidi w:val="0"/>
        <w:rPr>
          <w:rFonts w:hint="eastAsia"/>
        </w:rPr>
      </w:pPr>
      <w:r>
        <w:rPr>
          <w:rFonts w:hint="eastAsia"/>
        </w:rPr>
        <w:t>对于商服用途宗地评估，可分不同的区段按级别商服用地地价修正系数表和指标说明表，在级别基准地价的基础上修正。由于划分的评价单元已考虑到均质性因素，故修正时只需进行宗地形状、容积率等个别因素的修正。</w:t>
      </w:r>
    </w:p>
    <w:p>
      <w:pPr>
        <w:bidi w:val="0"/>
        <w:rPr>
          <w:rFonts w:hint="eastAsia"/>
        </w:rPr>
      </w:pPr>
      <w:r>
        <w:rPr>
          <w:rFonts w:hint="eastAsia"/>
        </w:rPr>
        <w:t>对于居住和工业用途宗地评估的修正方法采取级别住宅用地地价修正系数表和修正系数指标说明表，在级别基准地价的基础上修正。</w:t>
      </w:r>
    </w:p>
    <w:p>
      <w:pPr>
        <w:bidi w:val="0"/>
        <w:rPr>
          <w:rFonts w:hint="eastAsia"/>
        </w:rPr>
      </w:pPr>
      <w:r>
        <w:rPr>
          <w:rFonts w:hint="eastAsia"/>
        </w:rPr>
        <w:t>（2）成果应用时效性说明</w:t>
      </w:r>
    </w:p>
    <w:p>
      <w:pPr>
        <w:bidi w:val="0"/>
        <w:rPr>
          <w:rFonts w:hint="eastAsia"/>
        </w:rPr>
      </w:pPr>
      <w:r>
        <w:rPr>
          <w:rFonts w:hint="eastAsia"/>
        </w:rPr>
        <w:t>土地估价是依据土地市场现状和近三年商服、工业企业用地效益状况为基础评估的。由于基准地价受土地供求关系（如土地利用规划、土地供应计划）、经济发展水平、地价指数等多方面影响，基准地价评估成果动态变化比土地定级成果要快。一般情况下，基准地价评估成果有效期为2－3年。因此，基准地价须根据土地市场状况每2－3年调整一次。</w:t>
      </w:r>
    </w:p>
    <w:p>
      <w:pPr>
        <w:pStyle w:val="5"/>
        <w:bidi w:val="0"/>
        <w:rPr>
          <w:rFonts w:hint="eastAsia"/>
        </w:rPr>
      </w:pPr>
      <w:bookmarkStart w:id="85" w:name="_Toc4872"/>
      <w:bookmarkStart w:id="86" w:name="_Toc20800"/>
      <w:r>
        <w:rPr>
          <w:rFonts w:hint="eastAsia"/>
        </w:rPr>
        <w:t>三、土地定级估价信息系统应用说明</w:t>
      </w:r>
      <w:bookmarkEnd w:id="85"/>
      <w:bookmarkEnd w:id="86"/>
    </w:p>
    <w:p>
      <w:pPr>
        <w:bidi w:val="0"/>
        <w:spacing w:line="360" w:lineRule="auto"/>
        <w:rPr>
          <w:rFonts w:hint="eastAsia"/>
        </w:rPr>
      </w:pPr>
      <w:r>
        <w:rPr>
          <w:rFonts w:hint="eastAsia"/>
        </w:rPr>
        <w:t>土地定级估价信息系统实现土地定级资料（表格和图件）录入、各因素因子作用分值表编制、各因素因子作用分值计算与制图、土地级别划分与论证；利用本系统可实现土地定级成果的动态管理与更新。要保持土地定级成果的现势性，关键在于及时收集与更新原始土地定级资料。</w:t>
      </w:r>
    </w:p>
    <w:p>
      <w:pPr>
        <w:bidi w:val="0"/>
        <w:spacing w:line="360" w:lineRule="auto"/>
        <w:rPr>
          <w:rFonts w:hint="eastAsia" w:ascii="仿宋_GB2312" w:hAnsi="仿宋_GB2312" w:eastAsia="仿宋_GB2312" w:cs="仿宋_GB2312"/>
          <w:b/>
          <w:bCs/>
          <w:sz w:val="28"/>
          <w:szCs w:val="28"/>
        </w:rPr>
      </w:pPr>
      <w:r>
        <w:rPr>
          <w:rFonts w:hint="eastAsia"/>
        </w:rPr>
        <w:t>土地定级估价信息系统实现商服、工业企业用地效益级差收益模型测算级别地价、土地市场样点地价、地价样点监测的计算，并进行基准地价评估。应用本系统应及时收集城市商服、工业企业用地效益和土地市场方面资料，更新数据库，维护地价数据库的现势性。</w:t>
      </w:r>
    </w:p>
    <w:sectPr>
      <w:pgSz w:w="11906" w:h="16838"/>
      <w:pgMar w:top="1440" w:right="1800"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4"/>
      </w:pPr>
      <w:r>
        <w:separator/>
      </w:r>
    </w:p>
  </w:endnote>
  <w:endnote w:type="continuationSeparator" w:id="1">
    <w:p>
      <w:pPr>
        <w:spacing w:line="240" w:lineRule="auto"/>
        <w:ind w:firstLine="5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84"/>
      </w:pPr>
      <w:r>
        <w:separator/>
      </w:r>
    </w:p>
  </w:footnote>
  <w:footnote w:type="continuationSeparator" w:id="1">
    <w:p>
      <w:pPr>
        <w:spacing w:line="360" w:lineRule="auto"/>
        <w:ind w:firstLine="58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before="100" w:beforeAutospacing="1" w:after="100" w:afterAutospacing="1" w:line="200" w:lineRule="atLeast"/>
      <w:ind w:firstLine="0" w:firstLineChars="0"/>
      <w:jc w:val="center"/>
      <w:rPr>
        <w:rFonts w:ascii="华文行楷" w:hAnsi="宋体" w:eastAsia="华文行楷"/>
        <w:bCs/>
        <w:sz w:val="18"/>
        <w:szCs w:val="18"/>
      </w:rPr>
    </w:pPr>
    <w:r>
      <w:rPr>
        <w:rFonts w:hint="eastAsia" w:ascii="宋体" w:hAnsi="宋体"/>
        <w:sz w:val="18"/>
        <w:szCs w:val="18"/>
      </w:rPr>
      <w:t>临河区白脑包镇土地定级与基准地价更新</w:t>
    </w:r>
    <w:r>
      <w:rPr>
        <w:rFonts w:hint="eastAsia" w:ascii="宋体" w:hAnsi="宋体"/>
        <w:sz w:val="18"/>
        <w:szCs w:val="18"/>
        <w:lang w:eastAsia="zh-CN"/>
      </w:rPr>
      <w:t>成果</w:t>
    </w:r>
    <w:r>
      <w:rPr>
        <w:rFonts w:hint="eastAsia" w:ascii="宋体" w:hAnsi="宋体"/>
        <w:sz w:val="18"/>
        <w:szCs w:val="18"/>
      </w:rPr>
      <w:t>报告</w:t>
    </w:r>
  </w:p>
  <w:p>
    <w:pPr>
      <w:pStyle w:val="11"/>
      <w:ind w:firstLine="3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3ZWE5ZjFmNmFiYzUwOTFmZDc1NzEwNmYzYjI3OTQifQ=="/>
  </w:docVars>
  <w:rsids>
    <w:rsidRoot w:val="00207DBF"/>
    <w:rsid w:val="000E1F66"/>
    <w:rsid w:val="00170FE2"/>
    <w:rsid w:val="00207DBF"/>
    <w:rsid w:val="003A284F"/>
    <w:rsid w:val="00475A2C"/>
    <w:rsid w:val="006554A0"/>
    <w:rsid w:val="00657F09"/>
    <w:rsid w:val="006627F7"/>
    <w:rsid w:val="00DA0393"/>
    <w:rsid w:val="02300221"/>
    <w:rsid w:val="033469C8"/>
    <w:rsid w:val="03FB4C99"/>
    <w:rsid w:val="04E52E1C"/>
    <w:rsid w:val="087F48A3"/>
    <w:rsid w:val="09EA111B"/>
    <w:rsid w:val="0A133C6A"/>
    <w:rsid w:val="0A2907F1"/>
    <w:rsid w:val="0B5358E8"/>
    <w:rsid w:val="0BBA6FAB"/>
    <w:rsid w:val="0EF526ED"/>
    <w:rsid w:val="122A0851"/>
    <w:rsid w:val="1266072B"/>
    <w:rsid w:val="129B1D9B"/>
    <w:rsid w:val="13B15A3A"/>
    <w:rsid w:val="185A0B11"/>
    <w:rsid w:val="1C797167"/>
    <w:rsid w:val="1D436A48"/>
    <w:rsid w:val="229A397D"/>
    <w:rsid w:val="23DF3FAC"/>
    <w:rsid w:val="251A2C2B"/>
    <w:rsid w:val="25C24DF6"/>
    <w:rsid w:val="25C5258E"/>
    <w:rsid w:val="25E17D2F"/>
    <w:rsid w:val="25ED6560"/>
    <w:rsid w:val="26541246"/>
    <w:rsid w:val="26CF1730"/>
    <w:rsid w:val="27356178"/>
    <w:rsid w:val="27CE77CE"/>
    <w:rsid w:val="2B7B658E"/>
    <w:rsid w:val="2BC17995"/>
    <w:rsid w:val="2C425E66"/>
    <w:rsid w:val="302818A9"/>
    <w:rsid w:val="30FF784A"/>
    <w:rsid w:val="33B742B2"/>
    <w:rsid w:val="36A76674"/>
    <w:rsid w:val="37940295"/>
    <w:rsid w:val="38F44008"/>
    <w:rsid w:val="3B5C4405"/>
    <w:rsid w:val="3C504BFA"/>
    <w:rsid w:val="3D435173"/>
    <w:rsid w:val="3F394F98"/>
    <w:rsid w:val="3FD05742"/>
    <w:rsid w:val="40A13CB3"/>
    <w:rsid w:val="4877324A"/>
    <w:rsid w:val="48E7440B"/>
    <w:rsid w:val="4B7D3DA0"/>
    <w:rsid w:val="4EEE09AD"/>
    <w:rsid w:val="50A849D2"/>
    <w:rsid w:val="530B7DDF"/>
    <w:rsid w:val="538E073A"/>
    <w:rsid w:val="55E2114F"/>
    <w:rsid w:val="57E83927"/>
    <w:rsid w:val="581F036A"/>
    <w:rsid w:val="5E5A24BB"/>
    <w:rsid w:val="61760465"/>
    <w:rsid w:val="618A0CE2"/>
    <w:rsid w:val="61D660E0"/>
    <w:rsid w:val="64B51905"/>
    <w:rsid w:val="65C53FFA"/>
    <w:rsid w:val="6A8971FE"/>
    <w:rsid w:val="6B8C78B8"/>
    <w:rsid w:val="6C5216A9"/>
    <w:rsid w:val="6CB32469"/>
    <w:rsid w:val="6D855F6C"/>
    <w:rsid w:val="72A01E26"/>
    <w:rsid w:val="73BD5C80"/>
    <w:rsid w:val="770327CF"/>
    <w:rsid w:val="79D2393C"/>
    <w:rsid w:val="7AC91C3D"/>
    <w:rsid w:val="7BA72CEC"/>
    <w:rsid w:val="7BEB4EE8"/>
    <w:rsid w:val="7CC26D00"/>
    <w:rsid w:val="7D044E58"/>
    <w:rsid w:val="7F4B4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spacing w:val="6"/>
      <w:kern w:val="2"/>
      <w:sz w:val="28"/>
      <w:szCs w:val="24"/>
      <w:lang w:val="en-US" w:eastAsia="zh-CN" w:bidi="ar-SA"/>
    </w:rPr>
  </w:style>
  <w:style w:type="paragraph" w:styleId="3">
    <w:name w:val="heading 1"/>
    <w:basedOn w:val="1"/>
    <w:next w:val="1"/>
    <w:qFormat/>
    <w:uiPriority w:val="0"/>
    <w:pPr>
      <w:keepNext/>
      <w:keepLines/>
      <w:spacing w:before="50" w:beforeLines="50" w:after="50" w:afterLines="50" w:line="360" w:lineRule="auto"/>
      <w:ind w:firstLine="0" w:firstLineChars="0"/>
      <w:jc w:val="center"/>
      <w:outlineLvl w:val="0"/>
    </w:pPr>
    <w:rPr>
      <w:b/>
      <w:kern w:val="44"/>
      <w:sz w:val="32"/>
      <w:szCs w:val="20"/>
    </w:rPr>
  </w:style>
  <w:style w:type="paragraph" w:styleId="4">
    <w:name w:val="heading 2"/>
    <w:basedOn w:val="1"/>
    <w:next w:val="1"/>
    <w:qFormat/>
    <w:uiPriority w:val="0"/>
    <w:pPr>
      <w:keepNext/>
      <w:keepLines/>
      <w:spacing w:before="50" w:beforeLines="50" w:after="50" w:afterLines="50" w:line="360" w:lineRule="auto"/>
      <w:ind w:firstLine="0" w:firstLineChars="0"/>
      <w:jc w:val="center"/>
      <w:outlineLvl w:val="1"/>
    </w:pPr>
    <w:rPr>
      <w:rFonts w:ascii="Arial" w:hAnsi="Arial"/>
      <w:b/>
      <w:sz w:val="30"/>
      <w:szCs w:val="20"/>
    </w:rPr>
  </w:style>
  <w:style w:type="paragraph" w:styleId="5">
    <w:name w:val="heading 3"/>
    <w:basedOn w:val="1"/>
    <w:next w:val="1"/>
    <w:unhideWhenUsed/>
    <w:qFormat/>
    <w:uiPriority w:val="0"/>
    <w:pPr>
      <w:keepNext/>
      <w:keepLines/>
      <w:spacing w:line="360" w:lineRule="auto"/>
      <w:ind w:firstLine="444" w:firstLineChars="200"/>
      <w:jc w:val="left"/>
      <w:outlineLvl w:val="2"/>
    </w:pPr>
    <w:rPr>
      <w:rFonts w:ascii="Times New Roman" w:hAnsi="Times New Roman"/>
      <w:b/>
      <w:bCs/>
      <w:szCs w:val="32"/>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2" w:lineRule="atLeast"/>
      <w:ind w:firstLine="420" w:firstLineChars="0"/>
      <w:textAlignment w:val="baseline"/>
    </w:pPr>
    <w:rPr>
      <w:spacing w:val="0"/>
      <w:kern w:val="0"/>
      <w:szCs w:val="20"/>
    </w:rPr>
  </w:style>
  <w:style w:type="paragraph" w:styleId="7">
    <w:name w:val="toc 3"/>
    <w:basedOn w:val="1"/>
    <w:next w:val="1"/>
    <w:qFormat/>
    <w:uiPriority w:val="0"/>
    <w:pPr>
      <w:ind w:left="840" w:leftChars="400"/>
    </w:pPr>
  </w:style>
  <w:style w:type="paragraph" w:styleId="8">
    <w:name w:val="Plain Text"/>
    <w:basedOn w:val="1"/>
    <w:qFormat/>
    <w:uiPriority w:val="0"/>
    <w:pPr>
      <w:spacing w:line="240" w:lineRule="auto"/>
      <w:ind w:firstLine="0" w:firstLineChars="0"/>
    </w:pPr>
    <w:rPr>
      <w:rFonts w:ascii="宋体" w:hAnsi="Courier New"/>
      <w:spacing w:val="0"/>
      <w:szCs w:val="20"/>
    </w:rPr>
  </w:style>
  <w:style w:type="paragraph" w:styleId="9">
    <w:name w:val="Balloon Text"/>
    <w:basedOn w:val="1"/>
    <w:link w:val="23"/>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表头"/>
    <w:basedOn w:val="1"/>
    <w:qFormat/>
    <w:uiPriority w:val="0"/>
    <w:pPr>
      <w:tabs>
        <w:tab w:val="left" w:pos="2865"/>
        <w:tab w:val="center" w:pos="4617"/>
      </w:tabs>
      <w:spacing w:before="120" w:after="120" w:line="240" w:lineRule="auto"/>
      <w:ind w:firstLine="0" w:firstLineChars="0"/>
      <w:jc w:val="center"/>
    </w:pPr>
    <w:rPr>
      <w:rFonts w:ascii="仿宋" w:hAnsi="仿宋" w:eastAsia="仿宋"/>
      <w:b/>
      <w:szCs w:val="21"/>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
    <w:name w:val="表格内容啦啦啦"/>
    <w:basedOn w:val="1"/>
    <w:qFormat/>
    <w:uiPriority w:val="0"/>
    <w:pPr>
      <w:autoSpaceDE w:val="0"/>
      <w:autoSpaceDN w:val="0"/>
      <w:adjustRightInd w:val="0"/>
      <w:spacing w:line="240" w:lineRule="auto"/>
      <w:ind w:firstLine="0" w:firstLineChars="0"/>
      <w:jc w:val="center"/>
    </w:pPr>
    <w:rPr>
      <w:rFonts w:hint="eastAsia" w:ascii="仿宋" w:hAnsi="仿宋" w:eastAsia="仿宋" w:cs="仿宋"/>
      <w:szCs w:val="21"/>
    </w:rPr>
  </w:style>
  <w:style w:type="paragraph" w:customStyle="1" w:styleId="21">
    <w:name w:val="表头啦啦啦"/>
    <w:basedOn w:val="1"/>
    <w:qFormat/>
    <w:uiPriority w:val="0"/>
    <w:pPr>
      <w:tabs>
        <w:tab w:val="left" w:pos="2865"/>
        <w:tab w:val="center" w:pos="4617"/>
      </w:tabs>
      <w:spacing w:before="50" w:beforeLines="50" w:after="50" w:afterLines="50"/>
      <w:ind w:firstLine="0" w:firstLineChars="0"/>
      <w:jc w:val="center"/>
    </w:pPr>
    <w:rPr>
      <w:rFonts w:ascii="黑体" w:hAnsi="黑体" w:eastAsia="仿宋_GB2312"/>
      <w:b/>
      <w:sz w:val="21"/>
      <w:szCs w:val="21"/>
    </w:rPr>
  </w:style>
  <w:style w:type="paragraph" w:customStyle="1" w:styleId="22">
    <w:name w:val="表内容"/>
    <w:basedOn w:val="1"/>
    <w:qFormat/>
    <w:uiPriority w:val="0"/>
    <w:pPr>
      <w:spacing w:line="240" w:lineRule="auto"/>
      <w:ind w:right="31" w:rightChars="14" w:firstLine="0" w:firstLineChars="0"/>
      <w:jc w:val="center"/>
    </w:pPr>
    <w:rPr>
      <w:sz w:val="22"/>
      <w:szCs w:val="21"/>
    </w:rPr>
  </w:style>
  <w:style w:type="character" w:customStyle="1" w:styleId="23">
    <w:name w:val="批注框文本 Char"/>
    <w:basedOn w:val="16"/>
    <w:link w:val="9"/>
    <w:qFormat/>
    <w:uiPriority w:val="0"/>
    <w:rPr>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13690</Words>
  <Characters>19201</Characters>
  <Lines>177</Lines>
  <Paragraphs>50</Paragraphs>
  <TotalTime>10</TotalTime>
  <ScaleCrop>false</ScaleCrop>
  <LinksUpToDate>false</LinksUpToDate>
  <CharactersWithSpaces>19353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刘婷</cp:lastModifiedBy>
  <cp:lastPrinted>2022-06-21T05:39:14Z</cp:lastPrinted>
  <dcterms:modified xsi:type="dcterms:W3CDTF">2022-06-21T05:39:24Z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BB8B7D2DBFC6443BA8F863E7B0EA4EFE</vt:lpwstr>
  </property>
</Properties>
</file>